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0.jpeg" ContentType="image/jpeg"/>
  <Override PartName="/word/media/image19.jpeg" ContentType="image/jpeg"/>
  <Override PartName="/word/media/image18.jpeg" ContentType="image/jpeg"/>
  <Override PartName="/word/media/image14.jpeg" ContentType="image/jpeg"/>
  <Override PartName="/word/media/image13.jpeg" ContentType="image/jpeg"/>
  <Override PartName="/word/media/image12.jpeg" ContentType="image/jpeg"/>
  <Override PartName="/word/media/image9.jpeg" ContentType="image/jpeg"/>
  <Override PartName="/word/media/image11.jpeg" ContentType="image/jpeg"/>
  <Override PartName="/word/media/image8.jpeg" ContentType="image/jpeg"/>
  <Override PartName="/word/media/image10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4.jpeg" ContentType="image/jpeg"/>
  <Override PartName="/word/media/image17.jpeg" ContentType="image/jpeg"/>
  <Override PartName="/word/media/image3.jpeg" ContentType="image/jpeg"/>
  <Override PartName="/word/media/image16.jpeg" ContentType="image/jpeg"/>
  <Override PartName="/word/media/image2.jpeg" ContentType="image/jpeg"/>
  <Override PartName="/word/media/image15.jpeg" ContentType="image/jpeg"/>
  <Override PartName="/word/media/image1.jpeg" ContentType="image/jpeg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8"/>
        <w:spacing w:line="360" w:lineRule="auto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>Тема : Гейміфікація  – як рушійний засіб в освітньому процесі .</w:t>
      </w:r>
    </w:p>
    <w:p>
      <w:pPr>
        <w:pStyle w:val="style28"/>
        <w:spacing w:line="360" w:lineRule="auto"/>
        <w:jc w:val="center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Сьогодні ми все більше стикаємося з проблемою небажання дітей здобувати знання, з відсутністю мотивації до навчання. Як часто ми чуємо фрази «не хоче вчитися»,    «міг би прекрасно навчатися, а бажання немає». Якщо запитати, чого ж хочуть учні, які навчаються, більшість відповість – «грати в комп'ютерні ігри!»  Виникає протиріччя:  світ школи і сучасний світ – це два різні полюси. Шкільний світ включає: традиційну класно-урочну систему, домашні завдання, «стандартні, звичайні уроки», застосування підручника, атласу, карт, презентація до уроку, застосування на уроках неефективних форм, методів навчання. Що ж включає в себе сучасний світ? Це вік інформатизації, комп'ютеризації, інновації, практико орієнтовного навчання і багато іншого.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Ось приклад із життя: ви хочете отримати колекційну іграшку із шоколадного яйця, проте це буде лише винагородою за куплений продукт. Ось так і в грі починають розвивати ті навички, які учні були готові ігнорувати, таким чином даний спосіб полегшує викладання.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Щоб урізноманітнити навчання і мати можливість йти в ногу з часом, елементи навчання гейміфікують. У чому ж суть Гейміфікація? Що це?</w:t>
      </w:r>
    </w:p>
    <w:p>
      <w:pPr>
        <w:pStyle w:val="style28"/>
        <w:spacing w:line="360" w:lineRule="auto"/>
        <w:rPr>
          <w:rFonts w:ascii="Times New Roman" w:cs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uk-UA"/>
        </w:rPr>
        <w:t>Гейміфікація (ігрофікація)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Застосування підходів, що використовуються в комп'ютерних іграх для підвищення залученості гравців, в неігрових процесах: нагороди, бейджики, рівні майстерності, створення єдиної історії. Гейміфікація часто застосовується в реалізації комерційних продуктів; а в освіті деякими елементами такого підходу користувалися вже давно вчителі молодших класів та дошкільних установ.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Коли ви чуєте слово «гра», перше, що приходить на думку,- це веселощі, задоволення, позитивні емоції. А якщо ми вкладемо нову цінність в це слово? І назвемо цю цінність навчання!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Гейміфікація навчання - це все про позитивні емоції, щирий інтерес, багато веселощів і постійний розвиток. Чому ігри такі популярні серед дітей? В чому їхній секрет? Все просто. Вони гуртують дітей незалежно від віку. Ігри використовують мотиваційні інструменти, які заохочують дітей грати все більше і більше.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Методи гейміфікації прагнуть залучити природні людські інстинкти: конкуренція, досягнення, статус, самовираження, альтруїзм, вирішення задач.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vertAlign w:val="superscript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 основі стратегії гейміфікації лежить винагородження за виконані завдання. Можуть бути різні типи заохочень: бали, відзнаки або рівні, індикатор прогресу і видача виконавцю віртуальної валюти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>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Конкуренція — це ще один елемент, який можна використати при гейміфікації. Надати можливість всім учням бачити нагороди інших, або виплачувати бонуси лідерам і таким чином стимулювати інших виконувати завдання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Альтернативний підхід до гейміфікації — надати реальним завданням характеристик ігрового світу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. Наприклад, запропонувати декілька можливих варіантів розв'язання задачі, повторити із прикладу, поступово ускладнювати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, ще можна додати розповідь чи передісторію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Методи гейміфікації набули широкого розповсюдження в освітній сфері. Зокрема популярними й зрозумілими прикладами є дошки пошани, система оцінювання в молодшій школі (замість 5- чи 12-бальної системи — відмітки у вигляді сонечка, хмаринки тощо), змагання між класами за символічну «валюту», використання ігрових елементів безпосередньо під час уроків тощо. Гейміфікація може використовуватися у таких випадках:</w:t>
      </w:r>
    </w:p>
    <w:p>
      <w:pPr>
        <w:pStyle w:val="style28"/>
        <w:numPr>
          <w:ilvl w:val="0"/>
          <w:numId w:val="1"/>
        </w:num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Формування певних навичок або поведінки.</w:t>
      </w:r>
    </w:p>
    <w:p>
      <w:pPr>
        <w:pStyle w:val="style28"/>
        <w:numPr>
          <w:ilvl w:val="0"/>
          <w:numId w:val="1"/>
        </w:num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Візуалізація та підкреслення таких дій і навичок, які важко продемонструвати за допомогою традиційних методик.</w:t>
      </w:r>
    </w:p>
    <w:p>
      <w:pPr>
        <w:pStyle w:val="style28"/>
        <w:numPr>
          <w:ilvl w:val="0"/>
          <w:numId w:val="1"/>
        </w:num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Щоб захопити учнів, створити своєрідне змагання між ними.</w:t>
      </w:r>
    </w:p>
    <w:p>
      <w:pPr>
        <w:pStyle w:val="style28"/>
        <w:numPr>
          <w:ilvl w:val="0"/>
          <w:numId w:val="1"/>
        </w:num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Щоб учні самі могли спостерігати за власним прогресом.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Навчання варто проводити в безпосередній близькості від життя, показуючи, як те чи інше знання можна практично використовувати та застосувати в реальності. Таким чином проходить соціалізація учнів. 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З метою  захопити учнів, створити своєрідне змагання між ними ,  покращити поведінку та мотивувати до навчання у 3- Б класі була впроваджена символічна «валюта» - «Діснейки». Чому «діснейки» ?  На всіх купюрах зображені герої діснеєвських мультфільмів , які дуже полюбляють переглядати діти . З використанням «Діснейок» я пропоную перетворити навчання в інноваційний ігровий процес – гейміфікацію.</w:t>
      </w:r>
    </w:p>
    <w:p>
      <w:pPr>
        <w:pStyle w:val="style28"/>
        <w:spacing w:line="36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Правила користування «Діснейками» 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За отриману на уроці оцінку , дитина отримує «Діснейку».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1діснейка – 1 бал;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2 діснейки – 2 бали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3 діснейки – 3 бали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4 діснейки – 4 бали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5 діснейок – 5 балів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10 діснейок – 6 балів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15 діснейок – 7 балів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20 діснейок – 8 балів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50 діснейок – 9 балів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100 діснейок – 10 балів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200 діснейок – 11 балів ;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500 діснейок – 12 балів 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У кожного учня на титульній сторінці в щоденнику, було заклеєно гаманець для накопичення валюти. ( Додаток 1)</w:t>
      </w:r>
    </w:p>
    <w:p>
      <w:pPr>
        <w:pStyle w:val="style28"/>
        <w:spacing w:line="360" w:lineRule="auto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Бонуси :    – 500 діснейок :</w:t>
      </w:r>
    </w:p>
    <w:p>
      <w:pPr>
        <w:pStyle w:val="style28"/>
        <w:numPr>
          <w:ilvl w:val="0"/>
          <w:numId w:val="2"/>
        </w:num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 кінці тижня самим активним учням;</w:t>
      </w:r>
    </w:p>
    <w:p>
      <w:pPr>
        <w:pStyle w:val="style28"/>
        <w:numPr>
          <w:ilvl w:val="0"/>
          <w:numId w:val="2"/>
        </w:num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 кінці дня за найкращу поведінку .</w:t>
      </w:r>
    </w:p>
    <w:p>
      <w:pPr>
        <w:pStyle w:val="style28"/>
        <w:spacing w:line="360" w:lineRule="auto"/>
        <w:ind w:hanging="0" w:left="720" w:right="0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–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100 діснейок :</w:t>
      </w:r>
    </w:p>
    <w:p>
      <w:pPr>
        <w:pStyle w:val="style28"/>
        <w:numPr>
          <w:ilvl w:val="0"/>
          <w:numId w:val="2"/>
        </w:numPr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Чергування в класі 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Штраф :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порушення поведінки в класі –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50 діснейок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 кінці місяця проводився АУКЦІОН де діти могли придбати на свої зароблені кошти різні речі . (Додаток  2 , 3)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Результати стали відчутними відразу після впровадження Діснейок в класі . Це, на мою думку, пов’язано із збільшенням залученості в навчальний процес, що  викликано такими факторами , як важливість нагороди і заохочення отримати Діснейку на уроці. На зібрані впродовж місяця Діснейки, діти могли на аукціоні купити будь-яку річ, яка їм сподобалась 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Геймифікація працює , тому що всі діти хочуть грати , хочуть змагатися один з одним (хто більше зібрав Діснейок), хочуть щоб їхні досягнення  помічали. Отримуючи Діснейку в кінці уроку дитина ясно розуміє , за що вона отримала нагороду 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Отже, вплив ігри на мотивацію до навчання: соціальний зв'язок, самовпевненість, автономія, наявність цілі.</w:t>
      </w:r>
    </w:p>
    <w:p>
      <w:pPr>
        <w:pStyle w:val="style28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Геймифікація психологічно підтримує поведінку в класі, за порушення поведінки в правилах прописані і штрафи. Тому діти зосереджуються не тільки на навчанні, а й на вмінні вчитися контролювати свою поведінку.</w:t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Висновок :</w:t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Таким чином, елементи гри здатні зробити нудний процес (будь то навчання або робота) цікавим. Техніка гейміфікації спрацьовує на основних потребах і бажаннях людини. Кожна особа, залучена в «гру» – учень, студент, користувач  – відчуває себе частиною певної спільноти. Ігрові форми роблять процес навчання захоплюючим та цікавим, а змагання і винагорода за досягнення дозволяють учасникам не тільки підвищити свій статус і отримати ще одну форму самовираження, а й отримати стимул до прояву наполегливості, розвитку творчих здібностей дитини.</w:t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Додаток 1 .</w:t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/>
        <w:drawing>
          <wp:inline distB="0" distL="0" distR="0" distT="0">
            <wp:extent cx="2905125" cy="3873500"/>
            <wp:effectExtent b="0" l="0" r="0" t="0"/>
            <wp:docPr descr="D:\Documents\3 кл 17 - 18н.р\Фото\Новая папка\IMG_20180403_080936.jpg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3 кл 17 - 18н.р\Фото\Новая папка\IMG_20180403_080936.jp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87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cs="Times New Roman" w:hAnsi="Times New Roman"/>
          <w:sz w:val="28"/>
          <w:szCs w:val="28"/>
          <w:lang w:val="uk-UA"/>
        </w:rPr>
        <w:drawing>
          <wp:inline distB="0" distL="0" distR="0" distT="0">
            <wp:extent cx="2893060" cy="3857625"/>
            <wp:effectExtent b="0" l="0" r="0" t="0"/>
            <wp:docPr descr="D:\Documents\3 кл 17 - 18н.р\Фото\Новая папка\IMG_20180403_081106.jpg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3 кл 17 - 18н.р\Фото\Новая папка\IMG_20180403_081106.jpg" id="1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Додаток   2.</w:t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Аукціон   від  22 квітня 2018 року.</w:t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/>
        <w:drawing>
          <wp:inline distB="0" distL="0" distR="0" distT="0">
            <wp:extent cx="3076575" cy="2306955"/>
            <wp:effectExtent b="0" l="0" r="0" t="0"/>
            <wp:docPr descr="D:\Documents\Геймификация\32512030_245731756165139_1095861446740279296_n.jpg"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32512030_245731756165139_1095861446740279296_n.jpg" id="2" name="Picture"/>
                    <pic:cNvPicPr>
                      <a:picLocks noChangeArrowheads="1"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0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sz w:val="28"/>
          <w:szCs w:val="28"/>
          <w:lang w:val="uk-UA"/>
        </w:rPr>
        <w:drawing>
          <wp:inline distB="0" distL="0" distR="0" distT="0">
            <wp:extent cx="3060065" cy="2295525"/>
            <wp:effectExtent b="0" l="0" r="0" t="0"/>
            <wp:docPr descr="C:\Users\User\Downloads\32477304_245732116165103_7469446511454060544_n.jpg" id="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ownloads\32477304_245732116165103_7469446511454060544_n.jpg" id="3" name="Picture"/>
                    <pic:cNvPicPr>
                      <a:picLocks noChangeArrowheads="1"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06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spacing w:line="36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/>
        <w:drawing>
          <wp:inline distB="0" distL="0" distR="0" distT="0">
            <wp:extent cx="1757045" cy="2343150"/>
            <wp:effectExtent b="0" l="0" r="0" t="0"/>
            <wp:docPr descr="C:\Users\User\Downloads\32530706_245732666165048_5209806376703885312_n.jpg" id="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ownloads\32530706_245732666165048_5209806376703885312_n.jpg" id="4" name="Picture"/>
                    <pic:cNvPicPr>
                      <a:picLocks noChangeArrowheads="1"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</w:t>
      </w:r>
      <w:r>
        <w:rPr>
          <w:rFonts w:ascii="Times New Roman" w:cs="Times New Roman" w:hAnsi="Times New Roman"/>
          <w:sz w:val="28"/>
          <w:szCs w:val="28"/>
          <w:lang w:val="uk-UA"/>
        </w:rPr>
        <w:drawing>
          <wp:inline distB="0" distL="0" distR="0" distT="0">
            <wp:extent cx="1757045" cy="2343150"/>
            <wp:effectExtent b="0" l="0" r="0" t="0"/>
            <wp:docPr descr="C:\Users\User\Downloads\32588509_245731452831836_3703093654122921984_n.jpg" id="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ownloads\32588509_245731452831836_3703093654122921984_n.jpg" id="5" name="Picture"/>
                    <pic:cNvPicPr>
                      <a:picLocks noChangeArrowheads="1"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  <w:r>
        <w:rPr>
          <w:rFonts w:ascii="Times New Roman" w:cs="Times New Roman" w:hAnsi="Times New Roman"/>
          <w:sz w:val="28"/>
          <w:szCs w:val="28"/>
          <w:lang w:val="uk-UA"/>
        </w:rPr>
        <w:drawing>
          <wp:inline distB="0" distL="0" distR="0" distT="0">
            <wp:extent cx="1757045" cy="2343150"/>
            <wp:effectExtent b="0" l="0" r="0" t="0"/>
            <wp:docPr descr="C:\Users\User\Downloads\32308894_245731472831834_2859403519880855552_n.jpg" id="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ownloads\32308894_245731472831834_2859403519880855552_n.jpg" id="6" name="Picture"/>
                    <pic:cNvPicPr>
                      <a:picLocks noChangeArrowheads="1"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rPr>
          <w:rFonts w:ascii="Times New Roman" w:cs="Times New Roman" w:eastAsia="Times New Roman" w:hAnsi="Times New Roman"/>
          <w:color w:val="000000"/>
          <w:w w:val="0"/>
          <w:sz w:val="0"/>
          <w:szCs w:val="0"/>
          <w:u w:val="none"/>
          <w:shd w:fill="000000" w:val="clear"/>
          <w:lang w:val="uk-UA"/>
        </w:rPr>
      </w:pPr>
      <w:r>
        <w:rPr/>
        <w:drawing>
          <wp:inline distB="0" distL="0" distR="0" distT="0">
            <wp:extent cx="2162175" cy="1621155"/>
            <wp:effectExtent b="0" l="0" r="0" t="0"/>
            <wp:docPr descr="C:\Users\User\Downloads\32454414_245732236165091_4567751496581513216_n.jpg" id="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ownloads\32454414_245732236165091_4567751496581513216_n.jpg" id="7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2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</w:t>
      </w:r>
      <w:r>
        <w:rPr>
          <w:rFonts w:ascii="Times New Roman" w:cs="Times New Roman" w:hAnsi="Times New Roman"/>
          <w:sz w:val="28"/>
          <w:szCs w:val="28"/>
          <w:lang w:eastAsia="ru-RU" w:val="uk-UA"/>
        </w:rPr>
        <w:t xml:space="preserve">  </w:t>
      </w:r>
      <w:r>
        <w:rPr>
          <w:rFonts w:ascii="Times New Roman" w:cs="Times New Roman" w:hAnsi="Times New Roman"/>
          <w:sz w:val="28"/>
          <w:szCs w:val="28"/>
          <w:lang w:eastAsia="ru-RU" w:val="uk-UA"/>
        </w:rPr>
        <w:drawing>
          <wp:inline distB="0" distL="0" distR="0" distT="0">
            <wp:extent cx="2124075" cy="1593215"/>
            <wp:effectExtent b="0" l="0" r="0" t="0"/>
            <wp:docPr descr="C:\Users\User\Downloads\32533138_245731042831877_7877015367128711168_n.jpg" id="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ownloads\32533138_245731042831877_7877015367128711168_n.jpg" id="8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color w:val="000000"/>
          <w:w w:val="0"/>
          <w:sz w:val="0"/>
          <w:szCs w:val="0"/>
          <w:u w:val="none"/>
          <w:shd w:fill="000000" w:val="clear"/>
          <w:lang w:val="uk-UA"/>
        </w:rPr>
        <w:t xml:space="preserve">                                        </w:t>
        <w:drawing>
          <wp:anchor allowOverlap="1" behindDoc="0" distB="0" distL="0" distR="0" distT="0" layoutInCell="1" locked="0" relativeHeight="0" simplePos="0">
            <wp:simplePos x="0" y="0"/>
            <wp:positionH relativeFrom="column">
              <wp:posOffset>1907540</wp:posOffset>
            </wp:positionH>
            <wp:positionV relativeFrom="paragraph">
              <wp:posOffset>1516380</wp:posOffset>
            </wp:positionV>
            <wp:extent cx="2371725" cy="1781175"/>
            <wp:effectExtent b="0" l="0" r="0" t="0"/>
            <wp:wrapNone/>
            <wp:docPr descr="C:\Users\User\Downloads\32459399_245731326165182_4308306163046285312_n.jpg" id="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ownloads\32459399_245731326165182_4308306163046285312_n.jpg" id="9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Додаток  3.</w:t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Аукціон  від  24 травня 2018 року .</w:t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/>
        <w:drawing>
          <wp:inline distB="0" distL="0" distR="0" distT="0">
            <wp:extent cx="1981200" cy="1485900"/>
            <wp:effectExtent b="0" l="0" r="0" t="0"/>
            <wp:docPr descr="D:\Documents\Геймификация\DSC02096.JPG" id="1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096.JPG" id="10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sz w:val="28"/>
          <w:szCs w:val="28"/>
          <w:lang w:val="uk-UA"/>
        </w:rPr>
        <w:drawing>
          <wp:inline distB="0" distL="0" distR="0" distT="0">
            <wp:extent cx="2009775" cy="1507490"/>
            <wp:effectExtent b="0" l="0" r="0" t="0"/>
            <wp:docPr descr="D:\Documents\Геймификация\DSC02099.JPG" id="1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099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cs="Times New Roman" w:hAnsi="Times New Roman"/>
          <w:sz w:val="28"/>
          <w:szCs w:val="28"/>
          <w:lang w:val="uk-UA"/>
        </w:rPr>
        <w:drawing>
          <wp:inline distB="0" distL="0" distR="0" distT="0">
            <wp:extent cx="2003425" cy="1502410"/>
            <wp:effectExtent b="0" l="0" r="0" t="0"/>
            <wp:docPr descr="D:\Documents\Геймификация\DSC02093.JPG" id="1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093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50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ab/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/>
        <w:drawing>
          <wp:inline distB="0" distL="0" distR="0" distT="0">
            <wp:extent cx="1981200" cy="1485900"/>
            <wp:effectExtent b="0" l="0" r="0" t="0"/>
            <wp:docPr descr="D:\Documents\Геймификация\DSC02107.JPG" id="1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107.JP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cs="Times New Roman" w:hAnsi="Times New Roman"/>
          <w:sz w:val="28"/>
          <w:szCs w:val="28"/>
          <w:lang w:val="uk-UA"/>
        </w:rPr>
        <w:drawing>
          <wp:inline distB="0" distL="0" distR="0" distT="0">
            <wp:extent cx="1981200" cy="1485900"/>
            <wp:effectExtent b="0" l="0" r="0" t="0"/>
            <wp:docPr descr="D:\Documents\Геймификация\DSC02117.JPG" id="1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117.JP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sz w:val="28"/>
          <w:szCs w:val="28"/>
          <w:lang w:val="uk-UA"/>
        </w:rPr>
        <w:drawing>
          <wp:inline distB="0" distL="0" distR="0" distT="0">
            <wp:extent cx="2028825" cy="1521460"/>
            <wp:effectExtent b="0" l="0" r="0" t="0"/>
            <wp:docPr descr="D:\Documents\Геймификация\DSC02112.JPG" id="1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112.JP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  <w:drawing>
          <wp:anchor allowOverlap="1" behindDoc="0" distB="0" distL="0" distR="0" distT="0" layoutInCell="1" locked="0" relativeHeight="1" simplePos="0">
            <wp:simplePos x="0" y="0"/>
            <wp:positionH relativeFrom="column">
              <wp:posOffset>1126490</wp:posOffset>
            </wp:positionH>
            <wp:positionV relativeFrom="paragraph">
              <wp:posOffset>1390015</wp:posOffset>
            </wp:positionV>
            <wp:extent cx="3590925" cy="2693035"/>
            <wp:effectExtent b="0" l="0" r="0" t="0"/>
            <wp:wrapNone/>
            <wp:docPr descr="D:\Documents\Геймификация\DSC02149.JPG" id="1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149.JP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69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tabs>
          <w:tab w:leader="none" w:pos="732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drawing>
          <wp:anchor allowOverlap="1" behindDoc="1" distB="0" distL="0" distR="0" distT="0" layoutInCell="1" locked="0" relativeHeight="2" simplePos="0">
            <wp:simplePos x="0" y="0"/>
            <wp:positionH relativeFrom="column">
              <wp:posOffset>-54610</wp:posOffset>
            </wp:positionH>
            <wp:positionV relativeFrom="paragraph">
              <wp:posOffset>336550</wp:posOffset>
            </wp:positionV>
            <wp:extent cx="2042160" cy="1530985"/>
            <wp:effectExtent b="0" l="0" r="0" t="0"/>
            <wp:wrapNone/>
            <wp:docPr descr="D:\Documents\Геймификация\DSC02140.JPG" id="1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140.JP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153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drawing>
          <wp:anchor allowOverlap="1" behindDoc="1" distB="0" distL="0" distR="0" distT="0" layoutInCell="1" locked="0" relativeHeight="4" simplePos="0">
            <wp:simplePos x="0" y="0"/>
            <wp:positionH relativeFrom="column">
              <wp:posOffset>4003040</wp:posOffset>
            </wp:positionH>
            <wp:positionV relativeFrom="paragraph">
              <wp:posOffset>31750</wp:posOffset>
            </wp:positionV>
            <wp:extent cx="2133600" cy="1600200"/>
            <wp:effectExtent b="0" l="0" r="0" t="0"/>
            <wp:wrapNone/>
            <wp:docPr descr="D:\Documents\Геймификация\DSC02139.JPG" id="1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139.JP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drawing>
          <wp:anchor allowOverlap="1" behindDoc="0" distB="0" distL="0" distR="0" distT="0" layoutInCell="1" locked="0" relativeHeight="3" simplePos="0">
            <wp:simplePos x="0" y="0"/>
            <wp:positionH relativeFrom="column">
              <wp:posOffset>1907540</wp:posOffset>
            </wp:positionH>
            <wp:positionV relativeFrom="paragraph">
              <wp:posOffset>50165</wp:posOffset>
            </wp:positionV>
            <wp:extent cx="2371725" cy="1778635"/>
            <wp:effectExtent b="0" l="0" r="0" t="0"/>
            <wp:wrapNone/>
            <wp:docPr descr="D:\Documents\Геймификация\DSC02141.JPG" id="1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D:\Documents\Геймификация\DSC02141.JP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tabs>
          <w:tab w:leader="none" w:pos="3450" w:val="left"/>
          <w:tab w:leader="none" w:pos="699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ab/>
        <w:tab/>
      </w:r>
    </w:p>
    <w:p>
      <w:pPr>
        <w:pStyle w:val="style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</w:r>
    </w:p>
    <w:p>
      <w:pPr>
        <w:pStyle w:val="style0"/>
        <w:pageBreakBefore/>
        <w:tabs>
          <w:tab w:leader="none" w:pos="3450" w:val="left"/>
          <w:tab w:leader="none" w:pos="6990" w:val="left"/>
        </w:tabs>
        <w:rPr/>
      </w:pPr>
      <w:r>
        <w:rPr/>
      </w:r>
    </w:p>
    <w:sectPr>
      <w:type w:val="nextPage"/>
      <w:pgSz w:h="16838" w:w="11906"/>
      <w:pgMar w:bottom="1134" w:footer="0" w:gutter="0" w:header="0" w:left="851" w:right="850" w:top="993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o="urn:schemas-microsoft-com:office:office" xmlns:r="http://schemas.openxmlformats.org/officeDocument/2006/relationships" xmlns:v="urn:schemas-microsoft-com:vml" xmlns:w="http://schemas.openxmlformats.org/wordprocessingml/2006/main"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DejaVu Sans" w:hAnsi="Calibri"/>
      <w:color w:val="auto"/>
      <w:sz w:val="22"/>
      <w:szCs w:val="22"/>
      <w:lang w:bidi="ar-SA" w:eastAsia="en-US" w:val="ru-RU"/>
    </w:rPr>
  </w:style>
  <w:style w:styleId="style2" w:type="paragraph">
    <w:name w:val="Заголовок 2"/>
    <w:basedOn w:val="style0"/>
    <w:next w:val="style2"/>
    <w:pPr>
      <w:keepNext/>
      <w:keepLines/>
      <w:spacing w:after="0" w:before="200"/>
      <w:contextualSpacing w:val="false"/>
    </w:pPr>
    <w:rPr>
      <w:rFonts w:ascii="Cambria" w:cs="" w:hAnsi="Cambria"/>
      <w:b/>
      <w:bCs/>
      <w:color w:val="4F81BD"/>
      <w:sz w:val="26"/>
      <w:szCs w:val="26"/>
    </w:rPr>
  </w:style>
  <w:style w:styleId="style15" w:type="character">
    <w:name w:val="Default Paragraph Font"/>
    <w:next w:val="style15"/>
    <w:rPr/>
  </w:style>
  <w:style w:styleId="style16" w:type="character">
    <w:name w:val="Заголовок 2 Знак"/>
    <w:basedOn w:val="style15"/>
    <w:next w:val="style16"/>
    <w:rPr>
      <w:rFonts w:ascii="Cambria" w:cs="" w:hAnsi="Cambria"/>
      <w:b/>
      <w:bCs/>
      <w:color w:val="4F81BD"/>
      <w:sz w:val="26"/>
      <w:szCs w:val="26"/>
    </w:rPr>
  </w:style>
  <w:style w:styleId="style17" w:type="character">
    <w:name w:val="Интернет-ссылка"/>
    <w:basedOn w:val="style15"/>
    <w:next w:val="style17"/>
    <w:rPr>
      <w:color w:val="0000FF"/>
      <w:u w:val="single"/>
      <w:lang w:bidi="zxx-" w:eastAsia="zxx-" w:val="zxx-"/>
    </w:rPr>
  </w:style>
  <w:style w:styleId="style18" w:type="character">
    <w:name w:val="Текст у виносці Знак"/>
    <w:basedOn w:val="style15"/>
    <w:next w:val="style18"/>
    <w:rPr>
      <w:rFonts w:ascii="Tahoma" w:cs="Tahoma" w:hAnsi="Tahoma"/>
      <w:sz w:val="16"/>
      <w:szCs w:val="16"/>
    </w:rPr>
  </w:style>
  <w:style w:styleId="style19" w:type="character">
    <w:name w:val="Верхній колонтитул Знак"/>
    <w:basedOn w:val="style15"/>
    <w:next w:val="style19"/>
    <w:rPr/>
  </w:style>
  <w:style w:styleId="style20" w:type="character">
    <w:name w:val="Нижній колонтитул Знак"/>
    <w:basedOn w:val="style15"/>
    <w:next w:val="style20"/>
    <w:rPr/>
  </w:style>
  <w:style w:styleId="style21" w:type="character">
    <w:name w:val="Основний текст Знак"/>
    <w:basedOn w:val="style15"/>
    <w:next w:val="style21"/>
    <w:rPr>
      <w:rFonts w:ascii="Liberation Serif" w:cs="Lohit Hindi" w:eastAsia="DejaVu Sans" w:hAnsi="Liberation Serif"/>
      <w:sz w:val="24"/>
      <w:szCs w:val="24"/>
      <w:lang w:bidi="hi-IN" w:eastAsia="zh-CN"/>
    </w:rPr>
  </w:style>
  <w:style w:styleId="style22" w:type="paragraph">
    <w:name w:val="Заголовок"/>
    <w:basedOn w:val="style0"/>
    <w:next w:val="style23"/>
    <w:pPr>
      <w:keepNext/>
      <w:spacing w:after="120" w:before="240"/>
      <w:contextualSpacing w:val="false"/>
    </w:pPr>
    <w:rPr>
      <w:rFonts w:ascii="Liberation Sans" w:cs="Lohit Hindi" w:eastAsia="DejaVu Sans" w:hAnsi="Liberation Sans"/>
      <w:sz w:val="28"/>
      <w:szCs w:val="28"/>
    </w:rPr>
  </w:style>
  <w:style w:styleId="style23" w:type="paragraph">
    <w:name w:val="Основной текст"/>
    <w:basedOn w:val="style0"/>
    <w:next w:val="style23"/>
    <w:pPr>
      <w:widowControl w:val="false"/>
      <w:suppressAutoHyphens w:val="true"/>
      <w:spacing w:after="120" w:before="0" w:line="100" w:lineRule="atLeast"/>
      <w:contextualSpacing w:val="false"/>
    </w:pPr>
    <w:rPr>
      <w:rFonts w:ascii="Liberation Serif" w:cs="Lohit Hindi" w:eastAsia="DejaVu Sans" w:hAnsi="Liberation Serif"/>
      <w:sz w:val="24"/>
      <w:szCs w:val="24"/>
      <w:lang w:bidi="hi-IN" w:eastAsia="zh-CN"/>
    </w:rPr>
  </w:style>
  <w:style w:styleId="style24" w:type="paragraph">
    <w:name w:val="Список"/>
    <w:basedOn w:val="style23"/>
    <w:next w:val="style24"/>
    <w:pPr/>
    <w:rPr>
      <w:rFonts w:cs="Lohit Hindi"/>
    </w:rPr>
  </w:style>
  <w:style w:styleId="style25" w:type="paragraph">
    <w:name w:val="Название"/>
    <w:basedOn w:val="style0"/>
    <w:next w:val="style25"/>
    <w:pPr>
      <w:suppressLineNumbers/>
      <w:spacing w:after="120" w:before="120"/>
      <w:contextualSpacing w:val="false"/>
    </w:pPr>
    <w:rPr>
      <w:rFonts w:cs="Lohit Hindi"/>
      <w:i/>
      <w:iCs/>
      <w:sz w:val="24"/>
      <w:szCs w:val="24"/>
    </w:rPr>
  </w:style>
  <w:style w:styleId="style26" w:type="paragraph">
    <w:name w:val="Указатель"/>
    <w:basedOn w:val="style0"/>
    <w:next w:val="style26"/>
    <w:pPr>
      <w:suppressLineNumbers/>
    </w:pPr>
    <w:rPr>
      <w:rFonts w:cs="Lohit Hindi"/>
    </w:rPr>
  </w:style>
  <w:style w:styleId="style27" w:type="paragraph">
    <w:name w:val="Normal (Web)"/>
    <w:basedOn w:val="style0"/>
    <w:next w:val="style27"/>
    <w:pPr>
      <w:spacing w:after="280" w:before="280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ru-RU"/>
    </w:rPr>
  </w:style>
  <w:style w:styleId="style28" w:type="paragraph">
    <w:name w:val="No Spacing"/>
    <w:next w:val="style28"/>
    <w:pPr>
      <w:widowControl/>
      <w:suppressAutoHyphens w:val="true"/>
      <w:spacing w:after="0" w:before="0" w:line="100" w:lineRule="atLeast"/>
      <w:contextualSpacing w:val="false"/>
    </w:pPr>
    <w:rPr>
      <w:rFonts w:ascii="Calibri" w:cs="Calibri" w:eastAsia="DejaVu Sans" w:hAnsi="Calibri"/>
      <w:color w:val="auto"/>
      <w:sz w:val="22"/>
      <w:szCs w:val="22"/>
      <w:lang w:bidi="ar-SA" w:eastAsia="en-US" w:val="ru-RU"/>
    </w:rPr>
  </w:style>
  <w:style w:styleId="style29" w:type="paragraph">
    <w:name w:val="Balloon Text"/>
    <w:basedOn w:val="style0"/>
    <w:next w:val="style29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  <w:style w:styleId="style30" w:type="paragraph">
    <w:name w:val="Верхний колонтитул"/>
    <w:basedOn w:val="style0"/>
    <w:next w:val="style30"/>
    <w:pPr>
      <w:tabs>
        <w:tab w:leader="none" w:pos="4677" w:val="center"/>
        <w:tab w:leader="none" w:pos="9355" w:val="right"/>
      </w:tabs>
      <w:spacing w:after="0" w:before="0" w:line="100" w:lineRule="atLeast"/>
      <w:contextualSpacing w:val="false"/>
    </w:pPr>
    <w:rPr/>
  </w:style>
  <w:style w:styleId="style31" w:type="paragraph">
    <w:name w:val="Нижний колонтитул"/>
    <w:basedOn w:val="style0"/>
    <w:next w:val="style31"/>
    <w:pPr>
      <w:tabs>
        <w:tab w:leader="none" w:pos="4677" w:val="center"/>
        <w:tab w:leader="none" w:pos="9355" w:val="right"/>
      </w:tabs>
      <w:spacing w:after="0" w:before="0" w:line="100" w:lineRule="atLeast"/>
      <w:contextualSpacing w:val="false"/>
    </w:pPr>
    <w:rPr/>
  </w:style>
  <w:style w:styleId="style32" w:type="paragraph">
    <w:name w:val="Содержимое таблицы"/>
    <w:basedOn w:val="style0"/>
    <w:next w:val="style32"/>
    <w:pPr>
      <w:widowControl w:val="false"/>
      <w:suppressLineNumbers/>
      <w:suppressAutoHyphens w:val="true"/>
      <w:spacing w:after="0" w:before="0" w:line="100" w:lineRule="atLeast"/>
      <w:contextualSpacing w:val="false"/>
    </w:pPr>
    <w:rPr>
      <w:rFonts w:ascii="Times New Roman" w:cs="FreeSans" w:eastAsia="Droid Sans Fallback" w:hAnsi="Times New Roman"/>
      <w:sz w:val="24"/>
      <w:szCs w:val="24"/>
      <w:lang w:bidi="hi-IN" w:eastAsia="zh-CN"/>
    </w:rPr>
  </w:style>
  <w:style w:styleId="style33" w:type="paragraph">
    <w:name w:val="Заголовок таблицы"/>
    <w:basedOn w:val="style32"/>
    <w:next w:val="style33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numbering" Target="numbering.xml"/><Relationship Id="rId23" Type="http://schemas.openxmlformats.org/officeDocument/2006/relationships/fontTable" Target="fontTable.xml"/><Relationship Id="rId2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2018-05-29T16:24:00Z</dcterms:created>
  <dc:creator>User</dc:creator>
  <cp:lastModifiedBy>User04</cp:lastModifiedBy>
  <cp:lastPrinted>2018-05-30T09:15:00Z</cp:lastPrinted>
  <dcterms:modified xsi:type="dcterms:W3CDTF">2018-05-30T11:09:00Z</dcterms:modified>
  <cp:revision>20</cp:revision>
</cp:coreProperties>
</file>