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CE187" w14:textId="3BB8D61B" w:rsidR="00E862A3" w:rsidRDefault="00863456" w:rsidP="00863456">
      <w:pPr>
        <w:jc w:val="center"/>
        <w:rPr>
          <w:b/>
          <w:bCs/>
          <w:i/>
          <w:iCs/>
          <w:sz w:val="36"/>
          <w:szCs w:val="28"/>
          <w:u w:val="single"/>
        </w:rPr>
      </w:pPr>
      <w:r w:rsidRPr="00863456">
        <w:rPr>
          <w:b/>
          <w:bCs/>
          <w:i/>
          <w:iCs/>
          <w:sz w:val="36"/>
          <w:szCs w:val="28"/>
          <w:u w:val="single"/>
        </w:rPr>
        <w:t xml:space="preserve">Методика CLIL </w:t>
      </w:r>
      <w:r w:rsidR="00AD12C6">
        <w:rPr>
          <w:b/>
          <w:bCs/>
          <w:i/>
          <w:iCs/>
          <w:sz w:val="36"/>
          <w:szCs w:val="28"/>
          <w:u w:val="single"/>
        </w:rPr>
        <w:t>при</w:t>
      </w:r>
      <w:r w:rsidRPr="00863456">
        <w:rPr>
          <w:b/>
          <w:bCs/>
          <w:i/>
          <w:iCs/>
          <w:sz w:val="36"/>
          <w:szCs w:val="28"/>
          <w:u w:val="single"/>
        </w:rPr>
        <w:t xml:space="preserve"> викладанні англійської мови у закладах фахової </w:t>
      </w:r>
      <w:r w:rsidR="00733476" w:rsidRPr="00863456">
        <w:rPr>
          <w:b/>
          <w:bCs/>
          <w:i/>
          <w:iCs/>
          <w:sz w:val="36"/>
          <w:szCs w:val="28"/>
          <w:u w:val="single"/>
        </w:rPr>
        <w:t xml:space="preserve">аграрної </w:t>
      </w:r>
      <w:r w:rsidR="00733476">
        <w:rPr>
          <w:b/>
          <w:bCs/>
          <w:i/>
          <w:iCs/>
          <w:sz w:val="36"/>
          <w:szCs w:val="28"/>
          <w:u w:val="single"/>
        </w:rPr>
        <w:t>галузі</w:t>
      </w:r>
      <w:r w:rsidRPr="00863456">
        <w:rPr>
          <w:b/>
          <w:bCs/>
          <w:i/>
          <w:iCs/>
          <w:sz w:val="36"/>
          <w:szCs w:val="28"/>
          <w:u w:val="single"/>
        </w:rPr>
        <w:t xml:space="preserve"> передвищої освіти</w:t>
      </w:r>
    </w:p>
    <w:p w14:paraId="3ED48AAF" w14:textId="7AD92227" w:rsidR="00863456" w:rsidRDefault="00863456" w:rsidP="00863456">
      <w:pPr>
        <w:jc w:val="center"/>
        <w:rPr>
          <w:sz w:val="36"/>
          <w:szCs w:val="28"/>
        </w:rPr>
      </w:pPr>
    </w:p>
    <w:p w14:paraId="34F0D631" w14:textId="5E0CCA2F" w:rsidR="00D82223" w:rsidRPr="007E6CA0" w:rsidRDefault="00DF3AA6" w:rsidP="0047292D">
      <w:pPr>
        <w:pStyle w:val="3"/>
        <w:rPr>
          <w:b w:val="0"/>
          <w:bCs w:val="0"/>
          <w:sz w:val="28"/>
          <w:szCs w:val="28"/>
        </w:rPr>
      </w:pPr>
      <w:r w:rsidRPr="007E6CA0">
        <w:rPr>
          <w:b w:val="0"/>
          <w:bCs w:val="0"/>
          <w:sz w:val="28"/>
          <w:szCs w:val="28"/>
        </w:rPr>
        <w:t>Сучасні освітні тенденції орієнтовані на підготовку висококваліфікованих і конкуренто</w:t>
      </w:r>
      <w:r w:rsidR="00AD12C6">
        <w:rPr>
          <w:b w:val="0"/>
          <w:bCs w:val="0"/>
          <w:sz w:val="28"/>
          <w:szCs w:val="28"/>
        </w:rPr>
        <w:t>-</w:t>
      </w:r>
      <w:r w:rsidRPr="007E6CA0">
        <w:rPr>
          <w:b w:val="0"/>
          <w:bCs w:val="0"/>
          <w:sz w:val="28"/>
          <w:szCs w:val="28"/>
        </w:rPr>
        <w:t>спроможних на ринку праці фахівців. У цьому контексті поглиблене володіння іноземними мовами є однією з ключових компетенцій молодих фахівців.</w:t>
      </w:r>
    </w:p>
    <w:p w14:paraId="5D50A084" w14:textId="59E2C2E1" w:rsidR="005D0FBD" w:rsidRPr="007E6CA0" w:rsidRDefault="005D0FBD" w:rsidP="0047292D">
      <w:pPr>
        <w:pStyle w:val="3"/>
        <w:rPr>
          <w:sz w:val="28"/>
          <w:szCs w:val="28"/>
        </w:rPr>
      </w:pPr>
      <w:r w:rsidRPr="007E6CA0">
        <w:rPr>
          <w:sz w:val="28"/>
          <w:szCs w:val="28"/>
        </w:rPr>
        <w:t xml:space="preserve">Що таке </w:t>
      </w:r>
      <w:r w:rsidRPr="007E6CA0">
        <w:rPr>
          <w:sz w:val="28"/>
          <w:szCs w:val="28"/>
          <w:lang w:val="en-US"/>
        </w:rPr>
        <w:t>CLIL</w:t>
      </w:r>
      <w:r w:rsidRPr="007E6CA0">
        <w:rPr>
          <w:sz w:val="28"/>
          <w:szCs w:val="28"/>
        </w:rPr>
        <w:t>?</w:t>
      </w:r>
    </w:p>
    <w:p w14:paraId="02B975CC" w14:textId="254DA37A" w:rsidR="005D0FBD" w:rsidRPr="007E6CA0" w:rsidRDefault="005D0FBD" w:rsidP="0047292D">
      <w:pPr>
        <w:pStyle w:val="3"/>
        <w:rPr>
          <w:b w:val="0"/>
          <w:bCs w:val="0"/>
          <w:sz w:val="28"/>
          <w:szCs w:val="28"/>
        </w:rPr>
      </w:pPr>
      <w:r w:rsidRPr="007E6CA0">
        <w:rPr>
          <w:b w:val="0"/>
          <w:bCs w:val="0"/>
          <w:sz w:val="28"/>
          <w:szCs w:val="28"/>
        </w:rPr>
        <w:t xml:space="preserve">CLIL </w:t>
      </w:r>
      <w:r w:rsidR="00B85AE9" w:rsidRPr="007E6CA0">
        <w:rPr>
          <w:b w:val="0"/>
          <w:bCs w:val="0"/>
          <w:sz w:val="28"/>
          <w:szCs w:val="28"/>
        </w:rPr>
        <w:t xml:space="preserve">(Content and Language Integrated Learning) </w:t>
      </w:r>
      <w:r w:rsidRPr="007E6CA0">
        <w:rPr>
          <w:b w:val="0"/>
          <w:bCs w:val="0"/>
          <w:sz w:val="28"/>
          <w:szCs w:val="28"/>
        </w:rPr>
        <w:t xml:space="preserve">– це </w:t>
      </w:r>
      <w:r w:rsidR="00B85AE9" w:rsidRPr="007E6CA0">
        <w:rPr>
          <w:b w:val="0"/>
          <w:bCs w:val="0"/>
          <w:sz w:val="28"/>
          <w:szCs w:val="28"/>
        </w:rPr>
        <w:t xml:space="preserve">одночасне </w:t>
      </w:r>
      <w:r w:rsidRPr="007E6CA0">
        <w:rPr>
          <w:b w:val="0"/>
          <w:bCs w:val="0"/>
          <w:sz w:val="28"/>
          <w:szCs w:val="28"/>
        </w:rPr>
        <w:t xml:space="preserve">вивчення англійською (або іншою іноземною мовою) всіх або декількох </w:t>
      </w:r>
      <w:r w:rsidR="00B85AE9" w:rsidRPr="007E6CA0">
        <w:rPr>
          <w:b w:val="0"/>
          <w:bCs w:val="0"/>
          <w:sz w:val="28"/>
          <w:szCs w:val="28"/>
        </w:rPr>
        <w:t>фахових дисциплін</w:t>
      </w:r>
      <w:r w:rsidRPr="007E6CA0">
        <w:rPr>
          <w:b w:val="0"/>
          <w:bCs w:val="0"/>
          <w:sz w:val="28"/>
          <w:szCs w:val="28"/>
        </w:rPr>
        <w:t>.</w:t>
      </w:r>
      <w:r w:rsidR="00B85AE9" w:rsidRPr="007E6CA0">
        <w:rPr>
          <w:b w:val="0"/>
          <w:bCs w:val="0"/>
          <w:sz w:val="28"/>
          <w:szCs w:val="28"/>
        </w:rPr>
        <w:t xml:space="preserve"> Методика</w:t>
      </w:r>
      <w:r w:rsidR="004C5ACE" w:rsidRPr="007E6CA0">
        <w:rPr>
          <w:b w:val="0"/>
          <w:bCs w:val="0"/>
          <w:sz w:val="28"/>
          <w:szCs w:val="28"/>
        </w:rPr>
        <w:t xml:space="preserve"> виник</w:t>
      </w:r>
      <w:r w:rsidR="00B85AE9" w:rsidRPr="007E6CA0">
        <w:rPr>
          <w:b w:val="0"/>
          <w:bCs w:val="0"/>
          <w:sz w:val="28"/>
          <w:szCs w:val="28"/>
        </w:rPr>
        <w:t>ла</w:t>
      </w:r>
      <w:r w:rsidR="004C5ACE" w:rsidRPr="007E6CA0">
        <w:rPr>
          <w:b w:val="0"/>
          <w:bCs w:val="0"/>
          <w:sz w:val="28"/>
          <w:szCs w:val="28"/>
        </w:rPr>
        <w:t xml:space="preserve"> в кінці тисячоліття і ста</w:t>
      </w:r>
      <w:r w:rsidR="00B85AE9" w:rsidRPr="007E6CA0">
        <w:rPr>
          <w:b w:val="0"/>
          <w:bCs w:val="0"/>
          <w:sz w:val="28"/>
          <w:szCs w:val="28"/>
        </w:rPr>
        <w:t>ла</w:t>
      </w:r>
      <w:r w:rsidR="004C5ACE" w:rsidRPr="007E6CA0">
        <w:rPr>
          <w:b w:val="0"/>
          <w:bCs w:val="0"/>
          <w:sz w:val="28"/>
          <w:szCs w:val="28"/>
        </w:rPr>
        <w:t xml:space="preserve"> основною тенденцією в сфері освіти</w:t>
      </w:r>
      <w:r w:rsidR="00B85AE9" w:rsidRPr="007E6CA0">
        <w:rPr>
          <w:b w:val="0"/>
          <w:bCs w:val="0"/>
          <w:sz w:val="28"/>
          <w:szCs w:val="28"/>
        </w:rPr>
        <w:t xml:space="preserve">. </w:t>
      </w:r>
      <w:r w:rsidR="000B0539" w:rsidRPr="007E6CA0">
        <w:rPr>
          <w:b w:val="0"/>
          <w:bCs w:val="0"/>
          <w:sz w:val="28"/>
          <w:szCs w:val="28"/>
        </w:rPr>
        <w:t xml:space="preserve">Згідно з Coyle, D., Hood, P., &amp; Marsh, D. (2010). CLIL: Content and Language Integrated Learning. Cambridge University Press такий підхід </w:t>
      </w:r>
      <w:r w:rsidR="00DC36BD" w:rsidRPr="007E6CA0">
        <w:rPr>
          <w:b w:val="0"/>
          <w:bCs w:val="0"/>
          <w:sz w:val="28"/>
          <w:szCs w:val="28"/>
        </w:rPr>
        <w:t xml:space="preserve">допомагає інтегрувати мовні та професійні навички, </w:t>
      </w:r>
      <w:r w:rsidR="00125E26" w:rsidRPr="007E6CA0">
        <w:rPr>
          <w:b w:val="0"/>
          <w:bCs w:val="0"/>
          <w:sz w:val="28"/>
          <w:szCs w:val="28"/>
        </w:rPr>
        <w:t>що в свою чергу,</w:t>
      </w:r>
      <w:r w:rsidR="00DC36BD" w:rsidRPr="007E6CA0">
        <w:rPr>
          <w:b w:val="0"/>
          <w:bCs w:val="0"/>
          <w:sz w:val="28"/>
          <w:szCs w:val="28"/>
        </w:rPr>
        <w:t xml:space="preserve"> розширює можливості студента на ринку праці. Це особливо актуально</w:t>
      </w:r>
      <w:r w:rsidR="00125E26" w:rsidRPr="007E6CA0">
        <w:rPr>
          <w:b w:val="0"/>
          <w:bCs w:val="0"/>
          <w:sz w:val="28"/>
          <w:szCs w:val="28"/>
        </w:rPr>
        <w:t xml:space="preserve"> сьогодні, коли важливо йти в ногу з сучасними аграрними тенденціями.</w:t>
      </w:r>
    </w:p>
    <w:p w14:paraId="2E8558A3" w14:textId="7ED9269F" w:rsidR="0042520B" w:rsidRPr="007E6CA0" w:rsidRDefault="0042520B" w:rsidP="0047292D">
      <w:pPr>
        <w:pStyle w:val="3"/>
        <w:rPr>
          <w:sz w:val="28"/>
          <w:szCs w:val="28"/>
        </w:rPr>
      </w:pPr>
      <w:r w:rsidRPr="007E6CA0">
        <w:rPr>
          <w:sz w:val="28"/>
          <w:szCs w:val="28"/>
        </w:rPr>
        <w:t>Переваги застосування CLIL в аграрній освіті</w:t>
      </w:r>
    </w:p>
    <w:p w14:paraId="4BBA77FE" w14:textId="49BCEE17" w:rsidR="001D632D" w:rsidRPr="007E6CA0" w:rsidRDefault="0042520B" w:rsidP="001D632D">
      <w:p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uk-UA"/>
          <w14:ligatures w14:val="none"/>
        </w:rPr>
      </w:pPr>
      <w:r w:rsidRPr="007E6CA0">
        <w:rPr>
          <w:rFonts w:eastAsia="Times New Roman" w:cs="Times New Roman"/>
          <w:kern w:val="0"/>
          <w:szCs w:val="28"/>
          <w:lang w:eastAsia="uk-UA"/>
          <w14:ligatures w14:val="none"/>
        </w:rPr>
        <w:t>Посилаючись на</w:t>
      </w:r>
      <w:r w:rsidRPr="007E6CA0">
        <w:rPr>
          <w:rFonts w:eastAsia="Times New Roman" w:cs="Times New Roman"/>
          <w:b/>
          <w:bCs/>
          <w:kern w:val="0"/>
          <w:szCs w:val="28"/>
          <w:lang w:eastAsia="uk-UA"/>
          <w14:ligatures w14:val="none"/>
        </w:rPr>
        <w:t xml:space="preserve"> Marsh, D.</w:t>
      </w:r>
      <w:r w:rsidRPr="007E6CA0">
        <w:rPr>
          <w:rFonts w:eastAsia="Times New Roman" w:cs="Times New Roman"/>
          <w:kern w:val="0"/>
          <w:szCs w:val="28"/>
          <w:lang w:eastAsia="uk-UA"/>
          <w14:ligatures w14:val="none"/>
        </w:rPr>
        <w:t xml:space="preserve"> (2002). </w:t>
      </w:r>
      <w:r w:rsidRPr="007E6CA0">
        <w:rPr>
          <w:rFonts w:eastAsia="Times New Roman" w:cs="Times New Roman"/>
          <w:i/>
          <w:iCs/>
          <w:kern w:val="0"/>
          <w:szCs w:val="28"/>
          <w:lang w:eastAsia="uk-UA"/>
          <w14:ligatures w14:val="none"/>
        </w:rPr>
        <w:t>CLIL/EMILE - The European Dimension: Actions, Trends and Foresight Potential</w:t>
      </w:r>
      <w:r w:rsidRPr="007E6CA0">
        <w:rPr>
          <w:rFonts w:eastAsia="Times New Roman" w:cs="Times New Roman"/>
          <w:kern w:val="0"/>
          <w:szCs w:val="28"/>
          <w:lang w:eastAsia="uk-UA"/>
          <w14:ligatures w14:val="none"/>
        </w:rPr>
        <w:t xml:space="preserve">. European Commission можна підкреслити, що </w:t>
      </w:r>
      <w:r w:rsidRPr="007E6CA0">
        <w:rPr>
          <w:rFonts w:eastAsia="Times New Roman" w:cs="Times New Roman"/>
          <w:kern w:val="0"/>
          <w:szCs w:val="28"/>
          <w:lang w:eastAsia="uk-UA"/>
        </w:rPr>
        <w:t>CLIL</w:t>
      </w:r>
      <w:r w:rsidRPr="007E6CA0">
        <w:rPr>
          <w:b/>
          <w:bCs/>
          <w:szCs w:val="28"/>
        </w:rPr>
        <w:t xml:space="preserve"> </w:t>
      </w:r>
      <w:r w:rsidRPr="007E6CA0">
        <w:rPr>
          <w:szCs w:val="28"/>
        </w:rPr>
        <w:t>допомагає</w:t>
      </w:r>
      <w:r w:rsidRPr="007E6CA0">
        <w:rPr>
          <w:b/>
          <w:bCs/>
          <w:szCs w:val="28"/>
        </w:rPr>
        <w:t xml:space="preserve"> </w:t>
      </w:r>
      <w:r w:rsidR="00CA3E6F" w:rsidRPr="007E6CA0">
        <w:rPr>
          <w:szCs w:val="28"/>
        </w:rPr>
        <w:t>створювати двомовне середовище для</w:t>
      </w:r>
      <w:r w:rsidR="00CA3E6F" w:rsidRPr="007E6CA0">
        <w:rPr>
          <w:b/>
          <w:bCs/>
          <w:szCs w:val="28"/>
        </w:rPr>
        <w:t xml:space="preserve"> </w:t>
      </w:r>
      <w:r w:rsidR="00CA3E6F" w:rsidRPr="007E6CA0">
        <w:rPr>
          <w:szCs w:val="28"/>
        </w:rPr>
        <w:t>занурення</w:t>
      </w:r>
      <w:r w:rsidR="00CA3E6F" w:rsidRPr="007E6CA0">
        <w:rPr>
          <w:b/>
          <w:bCs/>
          <w:szCs w:val="28"/>
        </w:rPr>
        <w:t xml:space="preserve"> </w:t>
      </w:r>
      <w:r w:rsidR="00CA3E6F" w:rsidRPr="007E6CA0">
        <w:rPr>
          <w:szCs w:val="28"/>
        </w:rPr>
        <w:t xml:space="preserve">в професійний та мовний розвиток. У аграрних спеціальностях методика сприяє кращому розумінню фахових термінів, методик та інновацій, що актуальні в </w:t>
      </w:r>
      <w:r w:rsidR="00BD1077" w:rsidRPr="007E6CA0">
        <w:rPr>
          <w:szCs w:val="28"/>
        </w:rPr>
        <w:t>міжнародному аграрному секторі. Ще одна перевага – залучення студентів до дискусій, презентацій та групових про</w:t>
      </w:r>
      <w:r w:rsidR="00AD12C6">
        <w:rPr>
          <w:szCs w:val="28"/>
        </w:rPr>
        <w:t>є</w:t>
      </w:r>
      <w:r w:rsidR="00BD1077" w:rsidRPr="007E6CA0">
        <w:rPr>
          <w:szCs w:val="28"/>
        </w:rPr>
        <w:t>ктів іноземною мовою, що розвиває комунікативні навички, полегшує в подальшому роботу в колективі, взаємоді</w:t>
      </w:r>
      <w:r w:rsidR="00AD12C6">
        <w:rPr>
          <w:szCs w:val="28"/>
        </w:rPr>
        <w:t>ю</w:t>
      </w:r>
      <w:r w:rsidR="00BD1077" w:rsidRPr="007E6CA0">
        <w:rPr>
          <w:szCs w:val="28"/>
        </w:rPr>
        <w:t xml:space="preserve"> з іноземними партнерами та робот</w:t>
      </w:r>
      <w:r w:rsidR="00AD12C6">
        <w:rPr>
          <w:szCs w:val="28"/>
        </w:rPr>
        <w:t>у</w:t>
      </w:r>
      <w:r w:rsidR="00BD1077" w:rsidRPr="007E6CA0">
        <w:rPr>
          <w:szCs w:val="28"/>
        </w:rPr>
        <w:t xml:space="preserve"> </w:t>
      </w:r>
      <w:r w:rsidR="00AD12C6">
        <w:rPr>
          <w:szCs w:val="28"/>
        </w:rPr>
        <w:t>в</w:t>
      </w:r>
      <w:r w:rsidR="00BD1077" w:rsidRPr="007E6CA0">
        <w:rPr>
          <w:szCs w:val="28"/>
        </w:rPr>
        <w:t xml:space="preserve"> міжнародних про</w:t>
      </w:r>
      <w:r w:rsidR="00AD12C6">
        <w:rPr>
          <w:szCs w:val="28"/>
        </w:rPr>
        <w:t>є</w:t>
      </w:r>
      <w:r w:rsidR="00BD1077" w:rsidRPr="007E6CA0">
        <w:rPr>
          <w:szCs w:val="28"/>
        </w:rPr>
        <w:t xml:space="preserve">ктах. </w:t>
      </w:r>
    </w:p>
    <w:p w14:paraId="03D450F5" w14:textId="410862B5" w:rsidR="00BD1077" w:rsidRPr="007E6CA0" w:rsidRDefault="00BD1077" w:rsidP="001D632D">
      <w:p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uk-UA"/>
          <w14:ligatures w14:val="none"/>
        </w:rPr>
      </w:pPr>
      <w:r w:rsidRPr="007E6CA0">
        <w:rPr>
          <w:rFonts w:eastAsia="Times New Roman" w:cs="Times New Roman"/>
          <w:b/>
          <w:bCs/>
          <w:kern w:val="0"/>
          <w:szCs w:val="28"/>
          <w:lang w:eastAsia="uk-UA"/>
          <w14:ligatures w14:val="none"/>
        </w:rPr>
        <w:t>Ball, P., Kelly, K., &amp; Clegg, J.</w:t>
      </w:r>
      <w:r w:rsidRPr="007E6CA0">
        <w:rPr>
          <w:rFonts w:eastAsia="Times New Roman" w:cs="Times New Roman"/>
          <w:kern w:val="0"/>
          <w:szCs w:val="28"/>
          <w:lang w:eastAsia="uk-UA"/>
          <w14:ligatures w14:val="none"/>
        </w:rPr>
        <w:t xml:space="preserve"> (2015). </w:t>
      </w:r>
      <w:r w:rsidRPr="007E6CA0">
        <w:rPr>
          <w:rFonts w:eastAsia="Times New Roman" w:cs="Times New Roman"/>
          <w:i/>
          <w:iCs/>
          <w:kern w:val="0"/>
          <w:szCs w:val="28"/>
          <w:lang w:eastAsia="uk-UA"/>
          <w14:ligatures w14:val="none"/>
        </w:rPr>
        <w:t>Putting CLIL into Practice</w:t>
      </w:r>
      <w:r w:rsidRPr="007E6CA0">
        <w:rPr>
          <w:rFonts w:eastAsia="Times New Roman" w:cs="Times New Roman"/>
          <w:kern w:val="0"/>
          <w:szCs w:val="28"/>
          <w:lang w:eastAsia="uk-UA"/>
          <w14:ligatures w14:val="none"/>
        </w:rPr>
        <w:t>. Oxford University Press.</w:t>
      </w:r>
      <w:r w:rsidR="001D632D" w:rsidRPr="007E6CA0">
        <w:rPr>
          <w:rFonts w:eastAsia="Times New Roman" w:cs="Times New Roman"/>
          <w:kern w:val="0"/>
          <w:szCs w:val="28"/>
          <w:lang w:eastAsia="uk-UA"/>
          <w14:ligatures w14:val="none"/>
        </w:rPr>
        <w:t xml:space="preserve"> – ця книга надає практичні рекомендації та статегії для викладачів, які хочуть інтегрувати мовний компонент у професійні дисципліни. </w:t>
      </w:r>
    </w:p>
    <w:p w14:paraId="79BF7FA9" w14:textId="21DC4902" w:rsidR="00173346" w:rsidRPr="007E6CA0" w:rsidRDefault="00173346" w:rsidP="001D632D">
      <w:pPr>
        <w:spacing w:before="100" w:beforeAutospacing="1" w:after="100" w:afterAutospacing="1"/>
        <w:rPr>
          <w:rFonts w:eastAsia="Times New Roman" w:cs="Times New Roman"/>
          <w:b/>
          <w:bCs/>
          <w:kern w:val="0"/>
          <w:szCs w:val="28"/>
          <w:lang w:eastAsia="uk-UA"/>
          <w14:ligatures w14:val="none"/>
        </w:rPr>
      </w:pPr>
      <w:r w:rsidRPr="007E6CA0">
        <w:rPr>
          <w:b/>
          <w:bCs/>
          <w:szCs w:val="28"/>
        </w:rPr>
        <w:t>Використання дискурсу CLIL у навчальному процесі</w:t>
      </w:r>
    </w:p>
    <w:p w14:paraId="2AEC4179" w14:textId="33DADB39" w:rsidR="00EA412C" w:rsidRPr="007E6CA0" w:rsidRDefault="00EA412C" w:rsidP="00EA412C">
      <w:p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uk-UA"/>
          <w14:ligatures w14:val="none"/>
        </w:rPr>
      </w:pPr>
      <w:r w:rsidRPr="007E6CA0">
        <w:rPr>
          <w:rFonts w:eastAsia="Times New Roman" w:cs="Times New Roman"/>
          <w:kern w:val="0"/>
          <w:szCs w:val="28"/>
          <w:lang w:eastAsia="uk-UA"/>
          <w14:ligatures w14:val="none"/>
        </w:rPr>
        <w:t>Дослідження</w:t>
      </w:r>
      <w:r w:rsidRPr="007E6CA0">
        <w:rPr>
          <w:rFonts w:eastAsia="Times New Roman" w:cs="Times New Roman"/>
          <w:b/>
          <w:bCs/>
          <w:kern w:val="0"/>
          <w:szCs w:val="28"/>
          <w:lang w:eastAsia="uk-UA"/>
          <w14:ligatures w14:val="none"/>
        </w:rPr>
        <w:t xml:space="preserve"> Dalton-Puffer, C.</w:t>
      </w:r>
      <w:r w:rsidRPr="007E6CA0">
        <w:rPr>
          <w:rFonts w:eastAsia="Times New Roman" w:cs="Times New Roman"/>
          <w:kern w:val="0"/>
          <w:szCs w:val="28"/>
          <w:lang w:eastAsia="uk-UA"/>
          <w14:ligatures w14:val="none"/>
        </w:rPr>
        <w:t xml:space="preserve"> (2007). </w:t>
      </w:r>
      <w:r w:rsidRPr="007E6CA0">
        <w:rPr>
          <w:rFonts w:eastAsia="Times New Roman" w:cs="Times New Roman"/>
          <w:i/>
          <w:iCs/>
          <w:kern w:val="0"/>
          <w:szCs w:val="28"/>
          <w:lang w:eastAsia="uk-UA"/>
          <w14:ligatures w14:val="none"/>
        </w:rPr>
        <w:t>Discourse in Content and Language Integrated Learning (CLIL) Classrooms</w:t>
      </w:r>
      <w:r w:rsidRPr="007E6CA0">
        <w:rPr>
          <w:rFonts w:eastAsia="Times New Roman" w:cs="Times New Roman"/>
          <w:kern w:val="0"/>
          <w:szCs w:val="28"/>
          <w:lang w:eastAsia="uk-UA"/>
          <w14:ligatures w14:val="none"/>
        </w:rPr>
        <w:t xml:space="preserve">. John Benjamins Publishing Company. – акцентує увагу на мовному дискурсі, який характерний для класів </w:t>
      </w:r>
      <w:r w:rsidRPr="007E6CA0">
        <w:rPr>
          <w:rFonts w:eastAsia="Times New Roman" w:cs="Times New Roman"/>
          <w:kern w:val="0"/>
          <w:szCs w:val="28"/>
          <w:lang w:val="en-US" w:eastAsia="uk-UA"/>
          <w14:ligatures w14:val="none"/>
        </w:rPr>
        <w:t>CLIL</w:t>
      </w:r>
      <w:r w:rsidRPr="007E6CA0">
        <w:rPr>
          <w:rFonts w:eastAsia="Times New Roman" w:cs="Times New Roman"/>
          <w:kern w:val="0"/>
          <w:szCs w:val="28"/>
          <w:lang w:eastAsia="uk-UA"/>
          <w14:ligatures w14:val="none"/>
        </w:rPr>
        <w:t>. Підкреслюючи, що викладачі повинні адаптувати мовні завдання, що підтримувати інтерес студентів та одночасно допомагати їм опановувати спеціалізовану лексику.</w:t>
      </w:r>
      <w:r w:rsidR="00B969C8" w:rsidRPr="007E6CA0">
        <w:rPr>
          <w:rFonts w:eastAsia="Times New Roman" w:cs="Times New Roman"/>
          <w:kern w:val="0"/>
          <w:szCs w:val="28"/>
          <w:lang w:eastAsia="uk-UA"/>
          <w14:ligatures w14:val="none"/>
        </w:rPr>
        <w:t xml:space="preserve"> І</w:t>
      </w:r>
      <w:r w:rsidR="00AD12C6">
        <w:rPr>
          <w:rFonts w:eastAsia="Times New Roman" w:cs="Times New Roman"/>
          <w:kern w:val="0"/>
          <w:szCs w:val="28"/>
          <w:lang w:eastAsia="uk-UA"/>
          <w14:ligatures w14:val="none"/>
        </w:rPr>
        <w:t xml:space="preserve">, </w:t>
      </w:r>
      <w:r w:rsidR="00B969C8" w:rsidRPr="007E6CA0">
        <w:rPr>
          <w:rFonts w:eastAsia="Times New Roman" w:cs="Times New Roman"/>
          <w:kern w:val="0"/>
          <w:szCs w:val="28"/>
          <w:lang w:eastAsia="uk-UA"/>
          <w14:ligatures w14:val="none"/>
        </w:rPr>
        <w:t xml:space="preserve">як результат створення відкритого середовища, де студенти можуть вільно висловлювати свої думки, використовуючи фахову </w:t>
      </w:r>
      <w:r w:rsidR="00B969C8" w:rsidRPr="007E6CA0">
        <w:rPr>
          <w:rFonts w:eastAsia="Times New Roman" w:cs="Times New Roman"/>
          <w:kern w:val="0"/>
          <w:szCs w:val="28"/>
          <w:lang w:eastAsia="uk-UA"/>
          <w14:ligatures w14:val="none"/>
        </w:rPr>
        <w:lastRenderedPageBreak/>
        <w:t>лексику, задавати питання та обговорювати фахові теми. Наприклад, під час вивчення агрономії студенти можуть аналізувати різні методи вирощування культур, обговорювати їхні переваги та недоліки, що стимулює глибше осмислення матеріалу.</w:t>
      </w:r>
    </w:p>
    <w:p w14:paraId="2B6842BC" w14:textId="11459F71" w:rsidR="0042520B" w:rsidRPr="007E6CA0" w:rsidRDefault="009A143D" w:rsidP="0042520B">
      <w:pPr>
        <w:spacing w:before="100" w:beforeAutospacing="1" w:after="100" w:afterAutospacing="1"/>
        <w:rPr>
          <w:rFonts w:eastAsia="Times New Roman" w:cs="Times New Roman"/>
          <w:b/>
          <w:bCs/>
          <w:kern w:val="0"/>
          <w:szCs w:val="28"/>
          <w:lang w:eastAsia="uk-UA"/>
          <w14:ligatures w14:val="none"/>
        </w:rPr>
      </w:pPr>
      <w:r w:rsidRPr="007E6CA0">
        <w:rPr>
          <w:b/>
          <w:bCs/>
          <w:szCs w:val="28"/>
        </w:rPr>
        <w:t>Виклики впровадження CLIL</w:t>
      </w:r>
    </w:p>
    <w:p w14:paraId="0F2F9EE0" w14:textId="77777777" w:rsidR="007E6CA0" w:rsidRPr="007E6CA0" w:rsidRDefault="009A143D" w:rsidP="009A143D">
      <w:pPr>
        <w:pStyle w:val="3"/>
        <w:rPr>
          <w:b w:val="0"/>
          <w:bCs w:val="0"/>
          <w:sz w:val="28"/>
          <w:szCs w:val="28"/>
        </w:rPr>
      </w:pPr>
      <w:r w:rsidRPr="007E6CA0">
        <w:rPr>
          <w:b w:val="0"/>
          <w:bCs w:val="0"/>
          <w:sz w:val="28"/>
          <w:szCs w:val="28"/>
        </w:rPr>
        <w:t xml:space="preserve">Попри численні переваги, впровадження методики у навчальний процес може зіткнутися з певними викликами, які необхідно враховувати для досягнення успіху. </w:t>
      </w:r>
    </w:p>
    <w:p w14:paraId="69F5F2F2" w14:textId="325215D0" w:rsidR="009A143D" w:rsidRPr="007E6CA0" w:rsidRDefault="009A143D" w:rsidP="007E6CA0">
      <w:pPr>
        <w:pStyle w:val="3"/>
        <w:rPr>
          <w:b w:val="0"/>
          <w:bCs w:val="0"/>
          <w:sz w:val="28"/>
          <w:szCs w:val="28"/>
        </w:rPr>
      </w:pPr>
      <w:r w:rsidRPr="007E6CA0">
        <w:rPr>
          <w:b w:val="0"/>
          <w:bCs w:val="0"/>
          <w:sz w:val="28"/>
          <w:szCs w:val="28"/>
        </w:rPr>
        <w:t>Однією з найбільших труднощів є мовний бар'єр для студентів, які не володіють іноземною мовою на достатньому рівні. Це може призвести до недостатнього розуміння матеріалу та зниження мотивації. Для подолання цієї проблеми важливо</w:t>
      </w:r>
      <w:r w:rsidR="00292347" w:rsidRPr="007E6CA0">
        <w:rPr>
          <w:b w:val="0"/>
          <w:bCs w:val="0"/>
          <w:sz w:val="28"/>
          <w:szCs w:val="28"/>
        </w:rPr>
        <w:t xml:space="preserve"> і</w:t>
      </w:r>
      <w:r w:rsidRPr="007E6CA0">
        <w:rPr>
          <w:b w:val="0"/>
          <w:bCs w:val="0"/>
          <w:sz w:val="28"/>
          <w:szCs w:val="28"/>
        </w:rPr>
        <w:t>нтегрувати поступове навчання мови</w:t>
      </w:r>
      <w:r w:rsidR="00292347" w:rsidRPr="007E6CA0">
        <w:rPr>
          <w:b w:val="0"/>
          <w:bCs w:val="0"/>
          <w:sz w:val="28"/>
          <w:szCs w:val="28"/>
        </w:rPr>
        <w:t xml:space="preserve"> та </w:t>
      </w:r>
      <w:r w:rsidR="007E6CA0" w:rsidRPr="007E6CA0">
        <w:rPr>
          <w:b w:val="0"/>
          <w:bCs w:val="0"/>
          <w:sz w:val="28"/>
          <w:szCs w:val="28"/>
        </w:rPr>
        <w:t>в</w:t>
      </w:r>
      <w:r w:rsidRPr="007E6CA0">
        <w:rPr>
          <w:b w:val="0"/>
          <w:bCs w:val="0"/>
          <w:sz w:val="28"/>
          <w:szCs w:val="28"/>
        </w:rPr>
        <w:t>икористовувати візуальні матеріали</w:t>
      </w:r>
      <w:r w:rsidR="007E6CA0" w:rsidRPr="007E6CA0">
        <w:rPr>
          <w:sz w:val="28"/>
          <w:szCs w:val="28"/>
        </w:rPr>
        <w:t>.</w:t>
      </w:r>
      <w:r w:rsidR="007E6CA0" w:rsidRPr="007E6CA0">
        <w:rPr>
          <w:rStyle w:val="a4"/>
          <w:sz w:val="28"/>
          <w:szCs w:val="28"/>
        </w:rPr>
        <w:t xml:space="preserve">Викладачам у свою чергу варто бути готовими до безперевного навчання </w:t>
      </w:r>
      <w:r w:rsidR="007E6CA0" w:rsidRPr="007E6CA0">
        <w:rPr>
          <w:b w:val="0"/>
          <w:bCs w:val="0"/>
          <w:sz w:val="28"/>
          <w:szCs w:val="28"/>
        </w:rPr>
        <w:t>та адаптації нових методів і технологій</w:t>
      </w:r>
    </w:p>
    <w:p w14:paraId="1B76111F" w14:textId="77777777" w:rsidR="009A143D" w:rsidRPr="007E6CA0" w:rsidRDefault="009A143D" w:rsidP="009A143D">
      <w:pPr>
        <w:pStyle w:val="3"/>
        <w:rPr>
          <w:sz w:val="28"/>
          <w:szCs w:val="28"/>
        </w:rPr>
      </w:pPr>
      <w:r w:rsidRPr="007E6CA0">
        <w:rPr>
          <w:sz w:val="28"/>
          <w:szCs w:val="28"/>
        </w:rPr>
        <w:t>Висновок</w:t>
      </w:r>
    </w:p>
    <w:p w14:paraId="1B7B989F" w14:textId="77777777" w:rsidR="009A143D" w:rsidRPr="007E6CA0" w:rsidRDefault="009A143D" w:rsidP="009A143D">
      <w:pPr>
        <w:pStyle w:val="a3"/>
        <w:rPr>
          <w:sz w:val="28"/>
          <w:szCs w:val="28"/>
        </w:rPr>
      </w:pPr>
      <w:r w:rsidRPr="007E6CA0">
        <w:rPr>
          <w:sz w:val="28"/>
          <w:szCs w:val="28"/>
        </w:rPr>
        <w:t>Методика CLIL має величезний потенціал у підготовці висококваліфікованих фахівців у аграрній освіті. Вона сприяє інтеграції мовних і професійних навичок, розвиває критичне мислення та комунікативні здібності студентів. Однак, для досягнення успіху в її впровадженні необхідно враховувати виклики, пов'язані з мовним бар'єром та підготовкою викладачів.</w:t>
      </w:r>
    </w:p>
    <w:p w14:paraId="6F9AD4BD" w14:textId="77777777" w:rsidR="009A143D" w:rsidRPr="007E6CA0" w:rsidRDefault="009A143D" w:rsidP="009A143D">
      <w:pPr>
        <w:pStyle w:val="a3"/>
        <w:rPr>
          <w:sz w:val="28"/>
          <w:szCs w:val="28"/>
        </w:rPr>
      </w:pPr>
      <w:r w:rsidRPr="007E6CA0">
        <w:rPr>
          <w:sz w:val="28"/>
          <w:szCs w:val="28"/>
        </w:rPr>
        <w:t>Забезпечення ефективної реалізації CLIL вимагає комплексного підходу, що включає підтримку викладачів, адаптацію навчальних програм і створення сприятливого навчального середовища. Тільки за таких умов CLIL може стати потужним інструментом для підготовки конкурентоспроможних фахівців, готових до викликів сучасного аграрного ринку.</w:t>
      </w:r>
    </w:p>
    <w:p w14:paraId="38985EDB" w14:textId="56817285" w:rsidR="00270544" w:rsidRPr="00270544" w:rsidRDefault="00270544" w:rsidP="00270544">
      <w:pPr>
        <w:pStyle w:val="3"/>
        <w:rPr>
          <w:sz w:val="28"/>
          <w:szCs w:val="28"/>
        </w:rPr>
      </w:pPr>
      <w:r w:rsidRPr="00270544">
        <w:rPr>
          <w:sz w:val="28"/>
          <w:szCs w:val="28"/>
        </w:rPr>
        <w:t>Ресурси для впровадження методики CLIL</w:t>
      </w:r>
    </w:p>
    <w:p w14:paraId="487BBA52" w14:textId="77777777" w:rsidR="00270544" w:rsidRPr="00270544" w:rsidRDefault="00270544" w:rsidP="00270544">
      <w:pPr>
        <w:pStyle w:val="a3"/>
        <w:rPr>
          <w:sz w:val="28"/>
          <w:szCs w:val="28"/>
        </w:rPr>
      </w:pPr>
      <w:r w:rsidRPr="00270544">
        <w:rPr>
          <w:sz w:val="28"/>
          <w:szCs w:val="28"/>
        </w:rPr>
        <w:t>Для ефективного впровадження методики CLIL у закладах аграрної освіти викладачам можуть стати в нагоді сучасні цифрові ресурси та інструменти:</w:t>
      </w:r>
    </w:p>
    <w:p w14:paraId="4DA7AF8F" w14:textId="77777777" w:rsidR="00270544" w:rsidRPr="00270544" w:rsidRDefault="00270544" w:rsidP="00270544">
      <w:pPr>
        <w:pStyle w:val="a3"/>
        <w:numPr>
          <w:ilvl w:val="0"/>
          <w:numId w:val="6"/>
        </w:numPr>
        <w:rPr>
          <w:sz w:val="28"/>
          <w:szCs w:val="28"/>
        </w:rPr>
      </w:pPr>
      <w:r w:rsidRPr="00270544">
        <w:rPr>
          <w:rStyle w:val="a4"/>
          <w:sz w:val="28"/>
          <w:szCs w:val="28"/>
        </w:rPr>
        <w:t>Coursera, edX, FutureLearn</w:t>
      </w:r>
      <w:r w:rsidRPr="00270544">
        <w:rPr>
          <w:sz w:val="28"/>
          <w:szCs w:val="28"/>
        </w:rPr>
        <w:t xml:space="preserve"> — онлайн-платформи, що пропонують курси для викладачів щодо основ CLIL, методик інтеграції мови та контенту. Такі курси допомагають удосконалити навички створення інтегрованих навчальних програм.</w:t>
      </w:r>
    </w:p>
    <w:p w14:paraId="3506DDA3" w14:textId="26703527" w:rsidR="00270544" w:rsidRPr="00270544" w:rsidRDefault="00270544" w:rsidP="00270544">
      <w:pPr>
        <w:pStyle w:val="a3"/>
        <w:numPr>
          <w:ilvl w:val="0"/>
          <w:numId w:val="6"/>
        </w:numPr>
        <w:rPr>
          <w:sz w:val="28"/>
          <w:szCs w:val="28"/>
        </w:rPr>
      </w:pPr>
      <w:r w:rsidRPr="00270544">
        <w:rPr>
          <w:rStyle w:val="a4"/>
          <w:sz w:val="28"/>
          <w:szCs w:val="28"/>
        </w:rPr>
        <w:t>CLIL Resources</w:t>
      </w:r>
      <w:r w:rsidRPr="00270544">
        <w:rPr>
          <w:sz w:val="28"/>
          <w:szCs w:val="28"/>
        </w:rPr>
        <w:t xml:space="preserve"> — інтернет-ресурс із матеріалами для розробки занять за методикою CLIL, який надає приклади </w:t>
      </w:r>
      <w:r w:rsidR="00AD12C6">
        <w:rPr>
          <w:sz w:val="28"/>
          <w:szCs w:val="28"/>
        </w:rPr>
        <w:t>занять</w:t>
      </w:r>
      <w:r w:rsidRPr="00270544">
        <w:rPr>
          <w:sz w:val="28"/>
          <w:szCs w:val="28"/>
        </w:rPr>
        <w:t>, теми для дискусій та завдання, що допомагають інтегрувати фахові теми з мовним навчанням.</w:t>
      </w:r>
    </w:p>
    <w:p w14:paraId="63718423" w14:textId="4D52FF6C" w:rsidR="00270544" w:rsidRPr="00270544" w:rsidRDefault="00270544" w:rsidP="00270544">
      <w:pPr>
        <w:pStyle w:val="a3"/>
        <w:numPr>
          <w:ilvl w:val="0"/>
          <w:numId w:val="6"/>
        </w:numPr>
        <w:rPr>
          <w:sz w:val="28"/>
          <w:szCs w:val="28"/>
        </w:rPr>
      </w:pPr>
      <w:r w:rsidRPr="00270544">
        <w:rPr>
          <w:rStyle w:val="a4"/>
          <w:sz w:val="28"/>
          <w:szCs w:val="28"/>
        </w:rPr>
        <w:t>British Council Teaching English</w:t>
      </w:r>
      <w:r w:rsidRPr="00270544">
        <w:rPr>
          <w:sz w:val="28"/>
          <w:szCs w:val="28"/>
        </w:rPr>
        <w:t xml:space="preserve"> — розділ для викладачів із безкоштовними матеріалами, відео</w:t>
      </w:r>
      <w:r w:rsidR="00733476">
        <w:rPr>
          <w:sz w:val="28"/>
          <w:szCs w:val="28"/>
        </w:rPr>
        <w:t>заняттями</w:t>
      </w:r>
      <w:r w:rsidRPr="00270544">
        <w:rPr>
          <w:sz w:val="28"/>
          <w:szCs w:val="28"/>
        </w:rPr>
        <w:t xml:space="preserve"> та шаблонами для </w:t>
      </w:r>
      <w:r w:rsidRPr="00270544">
        <w:rPr>
          <w:sz w:val="28"/>
          <w:szCs w:val="28"/>
        </w:rPr>
        <w:lastRenderedPageBreak/>
        <w:t>створення власних CLIL-</w:t>
      </w:r>
      <w:r w:rsidR="00733476">
        <w:rPr>
          <w:sz w:val="28"/>
          <w:szCs w:val="28"/>
        </w:rPr>
        <w:t>занять</w:t>
      </w:r>
      <w:r w:rsidRPr="00270544">
        <w:rPr>
          <w:sz w:val="28"/>
          <w:szCs w:val="28"/>
        </w:rPr>
        <w:t>. Цей ресурс містить готові вправи, що можуть застосовуватися в аграрних дисциплінах.</w:t>
      </w:r>
    </w:p>
    <w:p w14:paraId="14E72F53" w14:textId="77777777" w:rsidR="00270544" w:rsidRPr="00270544" w:rsidRDefault="00270544" w:rsidP="00270544">
      <w:pPr>
        <w:pStyle w:val="a3"/>
        <w:numPr>
          <w:ilvl w:val="0"/>
          <w:numId w:val="6"/>
        </w:numPr>
        <w:rPr>
          <w:sz w:val="28"/>
          <w:szCs w:val="28"/>
        </w:rPr>
      </w:pPr>
      <w:r w:rsidRPr="00270544">
        <w:rPr>
          <w:rStyle w:val="a4"/>
          <w:sz w:val="28"/>
          <w:szCs w:val="28"/>
        </w:rPr>
        <w:t>Cambridge English and Oxford University Press</w:t>
      </w:r>
      <w:r w:rsidRPr="00270544">
        <w:rPr>
          <w:sz w:val="28"/>
          <w:szCs w:val="28"/>
        </w:rPr>
        <w:t xml:space="preserve"> — публікують методичні матеріали, які містять навчальні посібники та підручники з компонентами CLIL. Їхні книги можуть слугувати опорними джерелами для планування інтегрованих занять з англійської мови та аграрних дисциплін.</w:t>
      </w:r>
    </w:p>
    <w:p w14:paraId="040F3941" w14:textId="41AF4578" w:rsidR="00270544" w:rsidRPr="00270544" w:rsidRDefault="00270544" w:rsidP="00270544">
      <w:pPr>
        <w:pStyle w:val="a3"/>
        <w:numPr>
          <w:ilvl w:val="0"/>
          <w:numId w:val="6"/>
        </w:numPr>
        <w:rPr>
          <w:sz w:val="28"/>
          <w:szCs w:val="28"/>
        </w:rPr>
      </w:pPr>
      <w:r w:rsidRPr="00270544">
        <w:rPr>
          <w:rStyle w:val="a4"/>
          <w:sz w:val="28"/>
          <w:szCs w:val="28"/>
        </w:rPr>
        <w:t>Quizlet, Kahoot, Mentimeter</w:t>
      </w:r>
      <w:r w:rsidRPr="00270544">
        <w:rPr>
          <w:sz w:val="28"/>
          <w:szCs w:val="28"/>
        </w:rPr>
        <w:t xml:space="preserve"> — інтерактивні інструменти для створення флеш-карток, вікторин та інтерактивних опитувань. Такі інструменти допомагають закріпити професійну термінологію англійською мовою та урізноманітнити </w:t>
      </w:r>
      <w:r w:rsidR="00733476">
        <w:rPr>
          <w:sz w:val="28"/>
          <w:szCs w:val="28"/>
        </w:rPr>
        <w:t>освітній</w:t>
      </w:r>
      <w:r w:rsidRPr="00270544">
        <w:rPr>
          <w:sz w:val="28"/>
          <w:szCs w:val="28"/>
        </w:rPr>
        <w:t xml:space="preserve"> процес.</w:t>
      </w:r>
    </w:p>
    <w:p w14:paraId="57142BA2" w14:textId="7DF870EC" w:rsidR="00270544" w:rsidRPr="00270544" w:rsidRDefault="00270544" w:rsidP="00270544">
      <w:pPr>
        <w:pStyle w:val="a3"/>
        <w:numPr>
          <w:ilvl w:val="0"/>
          <w:numId w:val="6"/>
        </w:numPr>
        <w:rPr>
          <w:sz w:val="28"/>
          <w:szCs w:val="28"/>
        </w:rPr>
      </w:pPr>
      <w:r w:rsidRPr="00270544">
        <w:rPr>
          <w:rStyle w:val="a4"/>
          <w:sz w:val="28"/>
          <w:szCs w:val="28"/>
        </w:rPr>
        <w:t>CLIL4U</w:t>
      </w:r>
      <w:r w:rsidRPr="00270544">
        <w:rPr>
          <w:sz w:val="28"/>
          <w:szCs w:val="28"/>
        </w:rPr>
        <w:t xml:space="preserve"> — європейський про</w:t>
      </w:r>
      <w:r w:rsidR="00733476">
        <w:rPr>
          <w:sz w:val="28"/>
          <w:szCs w:val="28"/>
        </w:rPr>
        <w:t>є</w:t>
      </w:r>
      <w:r w:rsidRPr="00270544">
        <w:rPr>
          <w:sz w:val="28"/>
          <w:szCs w:val="28"/>
        </w:rPr>
        <w:t>кт, який надає набір готових CLIL-уроків для різних дисциплін, включно з науковими предметами. Викладачі можуть використовувати надані приклади як шаблони або адаптувати під власні теми.</w:t>
      </w:r>
    </w:p>
    <w:p w14:paraId="3BDAC875" w14:textId="77777777" w:rsidR="00270544" w:rsidRPr="00270544" w:rsidRDefault="00270544" w:rsidP="00270544">
      <w:pPr>
        <w:pStyle w:val="a3"/>
        <w:numPr>
          <w:ilvl w:val="0"/>
          <w:numId w:val="6"/>
        </w:numPr>
        <w:rPr>
          <w:sz w:val="28"/>
          <w:szCs w:val="28"/>
        </w:rPr>
      </w:pPr>
      <w:r w:rsidRPr="00270544">
        <w:rPr>
          <w:rStyle w:val="a4"/>
          <w:sz w:val="28"/>
          <w:szCs w:val="28"/>
        </w:rPr>
        <w:t>Bilingual Education Platform (BEP)</w:t>
      </w:r>
      <w:r w:rsidRPr="00270544">
        <w:rPr>
          <w:sz w:val="28"/>
          <w:szCs w:val="28"/>
        </w:rPr>
        <w:t xml:space="preserve"> — ресурс з підходами до двомовної освіти та методикою CLIL, що пропонує вправи й практичні приклади для викладання професійних дисциплін.</w:t>
      </w:r>
    </w:p>
    <w:p w14:paraId="7677C019" w14:textId="77777777" w:rsidR="00125E26" w:rsidRPr="00270544" w:rsidRDefault="00125E26" w:rsidP="0047292D">
      <w:pPr>
        <w:pStyle w:val="3"/>
        <w:rPr>
          <w:b w:val="0"/>
          <w:bCs w:val="0"/>
          <w:sz w:val="28"/>
          <w:szCs w:val="28"/>
        </w:rPr>
      </w:pPr>
    </w:p>
    <w:p w14:paraId="73E68ECC" w14:textId="3D7EAF98" w:rsidR="0047292D" w:rsidRPr="00270544" w:rsidRDefault="0047292D" w:rsidP="0047292D">
      <w:pPr>
        <w:pStyle w:val="3"/>
        <w:rPr>
          <w:sz w:val="28"/>
          <w:szCs w:val="28"/>
          <w14:ligatures w14:val="none"/>
        </w:rPr>
      </w:pPr>
      <w:r w:rsidRPr="00270544">
        <w:rPr>
          <w:sz w:val="28"/>
          <w:szCs w:val="28"/>
        </w:rPr>
        <w:br w:type="column"/>
      </w:r>
      <w:r w:rsidR="007E6CA0" w:rsidRPr="00270544">
        <w:rPr>
          <w:sz w:val="28"/>
          <w:szCs w:val="28"/>
          <w14:ligatures w14:val="none"/>
        </w:rPr>
        <w:lastRenderedPageBreak/>
        <w:t>Використана література</w:t>
      </w:r>
    </w:p>
    <w:p w14:paraId="6F012670" w14:textId="77777777" w:rsidR="0047292D" w:rsidRPr="00270544" w:rsidRDefault="0047292D" w:rsidP="0047292D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uk-UA"/>
          <w14:ligatures w14:val="none"/>
        </w:rPr>
      </w:pPr>
      <w:bookmarkStart w:id="0" w:name="_Hlk180937342"/>
      <w:r w:rsidRPr="00270544">
        <w:rPr>
          <w:rFonts w:eastAsia="Times New Roman" w:cs="Times New Roman"/>
          <w:b/>
          <w:bCs/>
          <w:kern w:val="0"/>
          <w:szCs w:val="28"/>
          <w:lang w:eastAsia="uk-UA"/>
          <w14:ligatures w14:val="none"/>
        </w:rPr>
        <w:t>Coyle, D., Hood, P., &amp; Marsh, D.</w:t>
      </w:r>
      <w:r w:rsidRPr="00270544">
        <w:rPr>
          <w:rFonts w:eastAsia="Times New Roman" w:cs="Times New Roman"/>
          <w:kern w:val="0"/>
          <w:szCs w:val="28"/>
          <w:lang w:eastAsia="uk-UA"/>
          <w14:ligatures w14:val="none"/>
        </w:rPr>
        <w:t xml:space="preserve"> (2010). </w:t>
      </w:r>
      <w:r w:rsidRPr="00270544">
        <w:rPr>
          <w:rFonts w:eastAsia="Times New Roman" w:cs="Times New Roman"/>
          <w:i/>
          <w:iCs/>
          <w:kern w:val="0"/>
          <w:szCs w:val="28"/>
          <w:lang w:eastAsia="uk-UA"/>
          <w14:ligatures w14:val="none"/>
        </w:rPr>
        <w:t>CLIL: Content and Language Integrated Learning</w:t>
      </w:r>
      <w:r w:rsidRPr="00270544">
        <w:rPr>
          <w:rFonts w:eastAsia="Times New Roman" w:cs="Times New Roman"/>
          <w:kern w:val="0"/>
          <w:szCs w:val="28"/>
          <w:lang w:eastAsia="uk-UA"/>
          <w14:ligatures w14:val="none"/>
        </w:rPr>
        <w:t>. Cambridge University Press.</w:t>
      </w:r>
    </w:p>
    <w:bookmarkEnd w:id="0"/>
    <w:p w14:paraId="699F9D73" w14:textId="77777777" w:rsidR="0042520B" w:rsidRPr="00270544" w:rsidRDefault="0042520B" w:rsidP="0042520B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uk-UA"/>
          <w14:ligatures w14:val="none"/>
        </w:rPr>
      </w:pPr>
      <w:r w:rsidRPr="00270544">
        <w:rPr>
          <w:rFonts w:eastAsia="Times New Roman" w:cs="Times New Roman"/>
          <w:b/>
          <w:bCs/>
          <w:kern w:val="0"/>
          <w:szCs w:val="28"/>
          <w:lang w:eastAsia="uk-UA"/>
          <w14:ligatures w14:val="none"/>
        </w:rPr>
        <w:t>Marsh, D.</w:t>
      </w:r>
      <w:r w:rsidRPr="00270544">
        <w:rPr>
          <w:rFonts w:eastAsia="Times New Roman" w:cs="Times New Roman"/>
          <w:kern w:val="0"/>
          <w:szCs w:val="28"/>
          <w:lang w:eastAsia="uk-UA"/>
          <w14:ligatures w14:val="none"/>
        </w:rPr>
        <w:t xml:space="preserve"> (2002). </w:t>
      </w:r>
      <w:r w:rsidRPr="00270544">
        <w:rPr>
          <w:rFonts w:eastAsia="Times New Roman" w:cs="Times New Roman"/>
          <w:i/>
          <w:iCs/>
          <w:kern w:val="0"/>
          <w:szCs w:val="28"/>
          <w:lang w:eastAsia="uk-UA"/>
          <w14:ligatures w14:val="none"/>
        </w:rPr>
        <w:t>CLIL/EMILE - The European Dimension: Actions, Trends and Foresight Potential</w:t>
      </w:r>
      <w:r w:rsidRPr="00270544">
        <w:rPr>
          <w:rFonts w:eastAsia="Times New Roman" w:cs="Times New Roman"/>
          <w:kern w:val="0"/>
          <w:szCs w:val="28"/>
          <w:lang w:eastAsia="uk-UA"/>
          <w14:ligatures w14:val="none"/>
        </w:rPr>
        <w:t>. European Commission.</w:t>
      </w:r>
    </w:p>
    <w:p w14:paraId="37AA7140" w14:textId="2AE7AE57" w:rsidR="0047292D" w:rsidRPr="00270544" w:rsidRDefault="0047292D" w:rsidP="007E6CA0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uk-UA"/>
          <w14:ligatures w14:val="none"/>
        </w:rPr>
      </w:pPr>
      <w:r w:rsidRPr="00270544">
        <w:rPr>
          <w:rFonts w:eastAsia="Times New Roman" w:cs="Times New Roman"/>
          <w:b/>
          <w:bCs/>
          <w:kern w:val="0"/>
          <w:szCs w:val="28"/>
          <w:lang w:eastAsia="uk-UA"/>
          <w14:ligatures w14:val="none"/>
        </w:rPr>
        <w:t>Ball, P., Kelly, K., &amp; Clegg, J.</w:t>
      </w:r>
      <w:r w:rsidRPr="00270544">
        <w:rPr>
          <w:rFonts w:eastAsia="Times New Roman" w:cs="Times New Roman"/>
          <w:kern w:val="0"/>
          <w:szCs w:val="28"/>
          <w:lang w:eastAsia="uk-UA"/>
          <w14:ligatures w14:val="none"/>
        </w:rPr>
        <w:t xml:space="preserve"> (2015). </w:t>
      </w:r>
      <w:r w:rsidRPr="00270544">
        <w:rPr>
          <w:rFonts w:eastAsia="Times New Roman" w:cs="Times New Roman"/>
          <w:i/>
          <w:iCs/>
          <w:kern w:val="0"/>
          <w:szCs w:val="28"/>
          <w:lang w:eastAsia="uk-UA"/>
          <w14:ligatures w14:val="none"/>
        </w:rPr>
        <w:t>Putting CLIL into Practice</w:t>
      </w:r>
      <w:r w:rsidRPr="00270544">
        <w:rPr>
          <w:rFonts w:eastAsia="Times New Roman" w:cs="Times New Roman"/>
          <w:kern w:val="0"/>
          <w:szCs w:val="28"/>
          <w:lang w:eastAsia="uk-UA"/>
          <w14:ligatures w14:val="none"/>
        </w:rPr>
        <w:t>. Oxford University Press.</w:t>
      </w:r>
    </w:p>
    <w:p w14:paraId="20C77600" w14:textId="77777777" w:rsidR="0047292D" w:rsidRPr="00270544" w:rsidRDefault="0047292D" w:rsidP="0047292D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uk-UA"/>
          <w14:ligatures w14:val="none"/>
        </w:rPr>
      </w:pPr>
      <w:r w:rsidRPr="00270544">
        <w:rPr>
          <w:rFonts w:eastAsia="Times New Roman" w:cs="Times New Roman"/>
          <w:b/>
          <w:bCs/>
          <w:kern w:val="0"/>
          <w:szCs w:val="28"/>
          <w:lang w:eastAsia="uk-UA"/>
          <w14:ligatures w14:val="none"/>
        </w:rPr>
        <w:t>Dalton-Puffer, C.</w:t>
      </w:r>
      <w:r w:rsidRPr="00270544">
        <w:rPr>
          <w:rFonts w:eastAsia="Times New Roman" w:cs="Times New Roman"/>
          <w:kern w:val="0"/>
          <w:szCs w:val="28"/>
          <w:lang w:eastAsia="uk-UA"/>
          <w14:ligatures w14:val="none"/>
        </w:rPr>
        <w:t xml:space="preserve"> (2007). </w:t>
      </w:r>
      <w:r w:rsidRPr="00270544">
        <w:rPr>
          <w:rFonts w:eastAsia="Times New Roman" w:cs="Times New Roman"/>
          <w:i/>
          <w:iCs/>
          <w:kern w:val="0"/>
          <w:szCs w:val="28"/>
          <w:lang w:eastAsia="uk-UA"/>
          <w14:ligatures w14:val="none"/>
        </w:rPr>
        <w:t>Discourse in Content and Language Integrated Learning (CLIL) Classrooms</w:t>
      </w:r>
      <w:r w:rsidRPr="00270544">
        <w:rPr>
          <w:rFonts w:eastAsia="Times New Roman" w:cs="Times New Roman"/>
          <w:kern w:val="0"/>
          <w:szCs w:val="28"/>
          <w:lang w:eastAsia="uk-UA"/>
          <w14:ligatures w14:val="none"/>
        </w:rPr>
        <w:t>. John Benjamins Publishing Company.</w:t>
      </w:r>
    </w:p>
    <w:p w14:paraId="36225A7A" w14:textId="77777777" w:rsidR="0047292D" w:rsidRPr="00270544" w:rsidRDefault="0047292D" w:rsidP="0047292D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uk-UA"/>
          <w14:ligatures w14:val="none"/>
        </w:rPr>
      </w:pPr>
      <w:r w:rsidRPr="00270544">
        <w:rPr>
          <w:rFonts w:eastAsia="Times New Roman" w:cs="Times New Roman"/>
          <w:b/>
          <w:bCs/>
          <w:kern w:val="0"/>
          <w:szCs w:val="28"/>
          <w:lang w:eastAsia="uk-UA"/>
          <w14:ligatures w14:val="none"/>
        </w:rPr>
        <w:t>Hale, S., &amp; Fabbro, A.</w:t>
      </w:r>
      <w:r w:rsidRPr="00270544">
        <w:rPr>
          <w:rFonts w:eastAsia="Times New Roman" w:cs="Times New Roman"/>
          <w:kern w:val="0"/>
          <w:szCs w:val="28"/>
          <w:lang w:eastAsia="uk-UA"/>
          <w14:ligatures w14:val="none"/>
        </w:rPr>
        <w:t xml:space="preserve"> (2017). </w:t>
      </w:r>
      <w:r w:rsidRPr="00270544">
        <w:rPr>
          <w:rFonts w:eastAsia="Times New Roman" w:cs="Times New Roman"/>
          <w:i/>
          <w:iCs/>
          <w:kern w:val="0"/>
          <w:szCs w:val="28"/>
          <w:lang w:eastAsia="uk-UA"/>
          <w14:ligatures w14:val="none"/>
        </w:rPr>
        <w:t>CLIL in Practice: A Comprehensive Guide to Content and Language Integrated Learning</w:t>
      </w:r>
      <w:r w:rsidRPr="00270544">
        <w:rPr>
          <w:rFonts w:eastAsia="Times New Roman" w:cs="Times New Roman"/>
          <w:kern w:val="0"/>
          <w:szCs w:val="28"/>
          <w:lang w:eastAsia="uk-UA"/>
          <w14:ligatures w14:val="none"/>
        </w:rPr>
        <w:t xml:space="preserve">. </w:t>
      </w:r>
      <w:r w:rsidRPr="00270544">
        <w:rPr>
          <w:rFonts w:eastAsia="Times New Roman" w:cs="Times New Roman"/>
          <w:i/>
          <w:iCs/>
          <w:kern w:val="0"/>
          <w:szCs w:val="28"/>
          <w:lang w:eastAsia="uk-UA"/>
          <w14:ligatures w14:val="none"/>
        </w:rPr>
        <w:t>International Journal of Language Studies</w:t>
      </w:r>
      <w:r w:rsidRPr="00270544">
        <w:rPr>
          <w:rFonts w:eastAsia="Times New Roman" w:cs="Times New Roman"/>
          <w:kern w:val="0"/>
          <w:szCs w:val="28"/>
          <w:lang w:eastAsia="uk-UA"/>
          <w14:ligatures w14:val="none"/>
        </w:rPr>
        <w:t>, 11(2), 67-92.</w:t>
      </w:r>
    </w:p>
    <w:p w14:paraId="1860147E" w14:textId="77777777" w:rsidR="0047292D" w:rsidRPr="00270544" w:rsidRDefault="0047292D" w:rsidP="0047292D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uk-UA"/>
          <w14:ligatures w14:val="none"/>
        </w:rPr>
      </w:pPr>
      <w:r w:rsidRPr="00270544">
        <w:rPr>
          <w:rFonts w:eastAsia="Times New Roman" w:cs="Times New Roman"/>
          <w:b/>
          <w:bCs/>
          <w:kern w:val="0"/>
          <w:szCs w:val="28"/>
          <w:lang w:eastAsia="uk-UA"/>
          <w14:ligatures w14:val="none"/>
        </w:rPr>
        <w:t>Graddol, D.</w:t>
      </w:r>
      <w:r w:rsidRPr="00270544">
        <w:rPr>
          <w:rFonts w:eastAsia="Times New Roman" w:cs="Times New Roman"/>
          <w:kern w:val="0"/>
          <w:szCs w:val="28"/>
          <w:lang w:eastAsia="uk-UA"/>
          <w14:ligatures w14:val="none"/>
        </w:rPr>
        <w:t xml:space="preserve"> (2006). </w:t>
      </w:r>
      <w:r w:rsidRPr="00270544">
        <w:rPr>
          <w:rFonts w:eastAsia="Times New Roman" w:cs="Times New Roman"/>
          <w:i/>
          <w:iCs/>
          <w:kern w:val="0"/>
          <w:szCs w:val="28"/>
          <w:lang w:eastAsia="uk-UA"/>
          <w14:ligatures w14:val="none"/>
        </w:rPr>
        <w:t>English Next</w:t>
      </w:r>
      <w:r w:rsidRPr="00270544">
        <w:rPr>
          <w:rFonts w:eastAsia="Times New Roman" w:cs="Times New Roman"/>
          <w:kern w:val="0"/>
          <w:szCs w:val="28"/>
          <w:lang w:eastAsia="uk-UA"/>
          <w14:ligatures w14:val="none"/>
        </w:rPr>
        <w:t>. British Council.</w:t>
      </w:r>
    </w:p>
    <w:p w14:paraId="388A8D84" w14:textId="77777777" w:rsidR="0047292D" w:rsidRPr="00270544" w:rsidRDefault="0047292D" w:rsidP="0047292D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uk-UA"/>
          <w14:ligatures w14:val="none"/>
        </w:rPr>
      </w:pPr>
      <w:r w:rsidRPr="00270544">
        <w:rPr>
          <w:rFonts w:eastAsia="Times New Roman" w:cs="Times New Roman"/>
          <w:b/>
          <w:bCs/>
          <w:kern w:val="0"/>
          <w:szCs w:val="28"/>
          <w:lang w:eastAsia="uk-UA"/>
          <w14:ligatures w14:val="none"/>
        </w:rPr>
        <w:t>European Commission - CLIL</w:t>
      </w:r>
      <w:r w:rsidRPr="00270544">
        <w:rPr>
          <w:rFonts w:eastAsia="Times New Roman" w:cs="Times New Roman"/>
          <w:kern w:val="0"/>
          <w:szCs w:val="28"/>
          <w:lang w:eastAsia="uk-UA"/>
          <w14:ligatures w14:val="none"/>
        </w:rPr>
        <w:t xml:space="preserve">: </w:t>
      </w:r>
      <w:hyperlink r:id="rId7" w:tgtFrame="_new" w:history="1">
        <w:r w:rsidRPr="00270544">
          <w:rPr>
            <w:rFonts w:eastAsia="Times New Roman" w:cs="Times New Roman"/>
            <w:color w:val="0000FF"/>
            <w:kern w:val="0"/>
            <w:szCs w:val="28"/>
            <w:u w:val="single"/>
            <w:lang w:eastAsia="uk-UA"/>
            <w14:ligatures w14:val="none"/>
          </w:rPr>
          <w:t>CLIL: Content and Language Integrated Learning</w:t>
        </w:r>
      </w:hyperlink>
    </w:p>
    <w:p w14:paraId="2C525783" w14:textId="77777777" w:rsidR="0047292D" w:rsidRPr="00270544" w:rsidRDefault="0047292D" w:rsidP="0047292D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uk-UA"/>
          <w14:ligatures w14:val="none"/>
        </w:rPr>
      </w:pPr>
      <w:r w:rsidRPr="00270544">
        <w:rPr>
          <w:rFonts w:eastAsia="Times New Roman" w:cs="Times New Roman"/>
          <w:b/>
          <w:bCs/>
          <w:kern w:val="0"/>
          <w:szCs w:val="28"/>
          <w:lang w:eastAsia="uk-UA"/>
          <w14:ligatures w14:val="none"/>
        </w:rPr>
        <w:t>British Council</w:t>
      </w:r>
      <w:r w:rsidRPr="00270544">
        <w:rPr>
          <w:rFonts w:eastAsia="Times New Roman" w:cs="Times New Roman"/>
          <w:kern w:val="0"/>
          <w:szCs w:val="28"/>
          <w:lang w:eastAsia="uk-UA"/>
          <w14:ligatures w14:val="none"/>
        </w:rPr>
        <w:t>: CLIL Resources</w:t>
      </w:r>
    </w:p>
    <w:p w14:paraId="7700366A" w14:textId="43F6FAB5" w:rsidR="00863456" w:rsidRPr="00863456" w:rsidRDefault="00863456" w:rsidP="00863456">
      <w:pPr>
        <w:jc w:val="center"/>
        <w:rPr>
          <w:sz w:val="36"/>
          <w:szCs w:val="28"/>
        </w:rPr>
      </w:pPr>
    </w:p>
    <w:sectPr w:rsidR="00863456" w:rsidRPr="00863456" w:rsidSect="006C67B6">
      <w:footerReference w:type="default" r:id="rId8"/>
      <w:pgSz w:w="11906" w:h="16838"/>
      <w:pgMar w:top="850" w:right="850" w:bottom="850" w:left="1417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A10D04" w14:textId="77777777" w:rsidR="005369A3" w:rsidRDefault="005369A3" w:rsidP="00CE3428">
      <w:r>
        <w:separator/>
      </w:r>
    </w:p>
  </w:endnote>
  <w:endnote w:type="continuationSeparator" w:id="0">
    <w:p w14:paraId="7BB18F92" w14:textId="77777777" w:rsidR="005369A3" w:rsidRDefault="005369A3" w:rsidP="00CE3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65797147"/>
      <w:docPartObj>
        <w:docPartGallery w:val="Page Numbers (Bottom of Page)"/>
        <w:docPartUnique/>
      </w:docPartObj>
    </w:sdtPr>
    <w:sdtEndPr/>
    <w:sdtContent>
      <w:p w14:paraId="2E1C98A9" w14:textId="57AFEA1C" w:rsidR="00CE3428" w:rsidRDefault="00CE3428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3676B7A" w14:textId="77777777" w:rsidR="00CE3428" w:rsidRDefault="00CE342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A685A1" w14:textId="77777777" w:rsidR="005369A3" w:rsidRDefault="005369A3" w:rsidP="00CE3428">
      <w:r>
        <w:separator/>
      </w:r>
    </w:p>
  </w:footnote>
  <w:footnote w:type="continuationSeparator" w:id="0">
    <w:p w14:paraId="2CB882FA" w14:textId="77777777" w:rsidR="005369A3" w:rsidRDefault="005369A3" w:rsidP="00CE34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7098F"/>
    <w:multiLevelType w:val="multilevel"/>
    <w:tmpl w:val="AC10904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A21340"/>
    <w:multiLevelType w:val="multilevel"/>
    <w:tmpl w:val="6BCCF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9A7F8F"/>
    <w:multiLevelType w:val="multilevel"/>
    <w:tmpl w:val="CEA64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DD5B7A"/>
    <w:multiLevelType w:val="multilevel"/>
    <w:tmpl w:val="5390496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17128C5"/>
    <w:multiLevelType w:val="multilevel"/>
    <w:tmpl w:val="AA5C3A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4896"/>
        </w:tabs>
        <w:ind w:left="4896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A22650C"/>
    <w:multiLevelType w:val="multilevel"/>
    <w:tmpl w:val="ACC8EC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505B"/>
    <w:rsid w:val="00005776"/>
    <w:rsid w:val="000B0539"/>
    <w:rsid w:val="00125E26"/>
    <w:rsid w:val="00173346"/>
    <w:rsid w:val="001D632D"/>
    <w:rsid w:val="001E5A2A"/>
    <w:rsid w:val="00270544"/>
    <w:rsid w:val="00292347"/>
    <w:rsid w:val="003E388D"/>
    <w:rsid w:val="0042520B"/>
    <w:rsid w:val="0047292D"/>
    <w:rsid w:val="004C5ACE"/>
    <w:rsid w:val="005369A3"/>
    <w:rsid w:val="005D0FBD"/>
    <w:rsid w:val="0064505B"/>
    <w:rsid w:val="006C67B6"/>
    <w:rsid w:val="00733476"/>
    <w:rsid w:val="007E6CA0"/>
    <w:rsid w:val="00863456"/>
    <w:rsid w:val="008F425A"/>
    <w:rsid w:val="009308F3"/>
    <w:rsid w:val="009A143D"/>
    <w:rsid w:val="00AD12C6"/>
    <w:rsid w:val="00B85AE9"/>
    <w:rsid w:val="00B90C15"/>
    <w:rsid w:val="00B969C8"/>
    <w:rsid w:val="00BD1077"/>
    <w:rsid w:val="00CA3E6F"/>
    <w:rsid w:val="00CE3428"/>
    <w:rsid w:val="00D82223"/>
    <w:rsid w:val="00DC36BD"/>
    <w:rsid w:val="00DF3AA6"/>
    <w:rsid w:val="00E862A3"/>
    <w:rsid w:val="00EA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B7CCB"/>
  <w15:chartTrackingRefBased/>
  <w15:docId w15:val="{AEBA35D7-946C-46B9-89C0-AE86C4801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uk-U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7292D"/>
    <w:pPr>
      <w:spacing w:before="100" w:beforeAutospacing="1" w:after="100" w:afterAutospacing="1"/>
      <w:outlineLvl w:val="2"/>
    </w:pPr>
    <w:rPr>
      <w:rFonts w:eastAsia="Times New Roman" w:cs="Times New Roman"/>
      <w:b/>
      <w:bCs/>
      <w:kern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7292D"/>
    <w:rPr>
      <w:rFonts w:eastAsia="Times New Roman" w:cs="Times New Roman"/>
      <w:b/>
      <w:bCs/>
      <w:kern w:val="0"/>
      <w:sz w:val="27"/>
      <w:szCs w:val="27"/>
      <w:lang w:eastAsia="uk-UA"/>
    </w:rPr>
  </w:style>
  <w:style w:type="paragraph" w:styleId="a3">
    <w:name w:val="Normal (Web)"/>
    <w:basedOn w:val="a"/>
    <w:uiPriority w:val="99"/>
    <w:unhideWhenUsed/>
    <w:rsid w:val="0047292D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47292D"/>
    <w:rPr>
      <w:b/>
      <w:bCs/>
    </w:rPr>
  </w:style>
  <w:style w:type="character" w:styleId="a5">
    <w:name w:val="Emphasis"/>
    <w:basedOn w:val="a0"/>
    <w:uiPriority w:val="20"/>
    <w:qFormat/>
    <w:rsid w:val="0047292D"/>
    <w:rPr>
      <w:i/>
      <w:iCs/>
    </w:rPr>
  </w:style>
  <w:style w:type="character" w:styleId="a6">
    <w:name w:val="Hyperlink"/>
    <w:basedOn w:val="a0"/>
    <w:uiPriority w:val="99"/>
    <w:semiHidden/>
    <w:unhideWhenUsed/>
    <w:rsid w:val="0047292D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CE3428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E3428"/>
  </w:style>
  <w:style w:type="paragraph" w:styleId="a9">
    <w:name w:val="footer"/>
    <w:basedOn w:val="a"/>
    <w:link w:val="aa"/>
    <w:uiPriority w:val="99"/>
    <w:unhideWhenUsed/>
    <w:rsid w:val="00CE3428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E34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988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c.europa.eu/languages/eu-language-policy/teaching-and-learning-languages/content-and-language-integrated-learning_e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1545</TotalTime>
  <Pages>4</Pages>
  <Words>4210</Words>
  <Characters>2401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</dc:creator>
  <cp:keywords/>
  <dc:description/>
  <cp:lastModifiedBy>Юлія</cp:lastModifiedBy>
  <cp:revision>9</cp:revision>
  <cp:lastPrinted>2024-10-27T16:22:00Z</cp:lastPrinted>
  <dcterms:created xsi:type="dcterms:W3CDTF">2024-09-09T13:21:00Z</dcterms:created>
  <dcterms:modified xsi:type="dcterms:W3CDTF">2024-10-28T15:36:00Z</dcterms:modified>
</cp:coreProperties>
</file>