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B0C55">
      <w:pPr>
        <w:spacing w:line="360" w:lineRule="auto"/>
        <w:ind w:firstLine="706"/>
        <w:jc w:val="center"/>
        <w:rPr>
          <w:rFonts w:hint="default"/>
          <w:b/>
          <w:bCs/>
          <w:lang w:val="uk-UA"/>
        </w:rPr>
      </w:pPr>
      <w:r>
        <w:rPr>
          <w:rFonts w:hint="default"/>
          <w:b/>
          <w:bCs/>
        </w:rPr>
        <w:t>Підтримувальне середовище на уроках української: тьюторський підхід</w:t>
      </w:r>
      <w:r>
        <w:rPr>
          <w:rFonts w:hint="default"/>
          <w:b/>
          <w:bCs/>
          <w:lang w:val="uk-UA"/>
        </w:rPr>
        <w:t>.</w:t>
      </w:r>
    </w:p>
    <w:p w14:paraId="64073E2A">
      <w:pPr>
        <w:spacing w:line="360" w:lineRule="auto"/>
        <w:ind w:firstLine="706"/>
        <w:jc w:val="right"/>
        <w:rPr>
          <w:rFonts w:hint="default"/>
          <w:b w:val="0"/>
          <w:bCs w:val="0"/>
          <w:lang w:val="uk-UA"/>
        </w:rPr>
      </w:pPr>
      <w:r>
        <w:rPr>
          <w:rFonts w:hint="default"/>
          <w:b w:val="0"/>
          <w:bCs w:val="0"/>
          <w:lang w:val="uk-UA"/>
        </w:rPr>
        <w:t>Тетяна Літавінова,</w:t>
      </w:r>
    </w:p>
    <w:p w14:paraId="0A86E5B1">
      <w:pPr>
        <w:spacing w:line="360" w:lineRule="auto"/>
        <w:ind w:firstLine="706"/>
        <w:jc w:val="right"/>
        <w:rPr>
          <w:rFonts w:hint="default"/>
          <w:b w:val="0"/>
          <w:bCs w:val="0"/>
          <w:lang w:val="uk-UA"/>
        </w:rPr>
      </w:pPr>
      <w:r>
        <w:rPr>
          <w:rFonts w:hint="default"/>
          <w:b w:val="0"/>
          <w:bCs w:val="0"/>
          <w:lang w:val="uk-UA"/>
        </w:rPr>
        <w:t>учителька української мови та літератури</w:t>
      </w:r>
    </w:p>
    <w:p w14:paraId="47CFC056">
      <w:pPr>
        <w:wordWrap w:val="0"/>
        <w:spacing w:line="360" w:lineRule="auto"/>
        <w:ind w:firstLine="706"/>
        <w:jc w:val="right"/>
        <w:rPr>
          <w:rFonts w:hint="default"/>
          <w:b w:val="0"/>
          <w:bCs w:val="0"/>
          <w:lang w:val="uk-UA"/>
        </w:rPr>
      </w:pPr>
      <w:r>
        <w:rPr>
          <w:rFonts w:hint="default"/>
          <w:b w:val="0"/>
          <w:bCs w:val="0"/>
          <w:lang w:val="uk-UA"/>
        </w:rPr>
        <w:t>Курахівського опорного ЗЗСО №5</w:t>
      </w:r>
    </w:p>
    <w:p w14:paraId="428F208C">
      <w:pPr>
        <w:pStyle w:val="34"/>
        <w:keepNext w:val="0"/>
        <w:keepLines w:val="0"/>
        <w:widowControl/>
        <w:suppressLineNumbers w:val="0"/>
        <w:bidi w:val="0"/>
        <w:spacing w:before="0" w:beforeAutospacing="0" w:after="240" w:afterAutospacing="0" w:line="360" w:lineRule="auto"/>
        <w:rPr>
          <w:rFonts w:hint="default" w:ascii="Times New Roman" w:hAnsi="Times New Roman" w:cs="Times New Roman"/>
          <w:sz w:val="28"/>
          <w:szCs w:val="28"/>
        </w:rPr>
      </w:pPr>
      <w:r>
        <w:rPr>
          <w:rFonts w:hint="default" w:ascii="Times New Roman" w:hAnsi="Times New Roman" w:eastAsia="sans-serif" w:cs="Times New Roman"/>
          <w:b/>
          <w:bCs/>
          <w:i w:val="0"/>
          <w:iCs w:val="0"/>
          <w:color w:val="1B1C1D"/>
          <w:sz w:val="28"/>
          <w:szCs w:val="28"/>
          <w:u w:val="none"/>
          <w:vertAlign w:val="baseline"/>
        </w:rPr>
        <w:t>Анотація:</w:t>
      </w:r>
      <w:r>
        <w:rPr>
          <w:rFonts w:hint="default" w:ascii="Times New Roman" w:hAnsi="Times New Roman" w:eastAsia="sans-serif" w:cs="Times New Roman"/>
          <w:i w:val="0"/>
          <w:iCs w:val="0"/>
          <w:color w:val="1B1C1D"/>
          <w:sz w:val="28"/>
          <w:szCs w:val="28"/>
          <w:u w:val="none"/>
          <w:vertAlign w:val="baseline"/>
        </w:rPr>
        <w:t xml:space="preserve"> У статті розглядається досвід упровадження та теоретичне підґрунтя застосування тьюторських інструментів на уроках української мови та літератури як ефективного засобу </w:t>
      </w:r>
      <w:r>
        <w:rPr>
          <w:rFonts w:hint="default" w:ascii="Times New Roman" w:hAnsi="Times New Roman" w:eastAsia="sans-serif" w:cs="Times New Roman"/>
          <w:b w:val="0"/>
          <w:bCs w:val="0"/>
          <w:i w:val="0"/>
          <w:iCs w:val="0"/>
          <w:color w:val="1B1C1D"/>
          <w:sz w:val="28"/>
          <w:szCs w:val="28"/>
          <w:u w:val="none"/>
          <w:vertAlign w:val="baseline"/>
        </w:rPr>
        <w:t xml:space="preserve">створення підтримувального освітнього середовища. Аналізуються методики, </w:t>
      </w:r>
      <w:r>
        <w:rPr>
          <w:rFonts w:hint="default" w:ascii="Times New Roman" w:hAnsi="Times New Roman" w:eastAsia="sans-serif" w:cs="Times New Roman"/>
          <w:i w:val="0"/>
          <w:iCs w:val="0"/>
          <w:color w:val="1B1C1D"/>
          <w:sz w:val="28"/>
          <w:szCs w:val="28"/>
          <w:u w:val="none"/>
          <w:vertAlign w:val="baseline"/>
        </w:rPr>
        <w:t>що сприяють розвитку емоційної безпеки, довіри, рефлексії та партнерської взаємодії. Подаються приклади вправ і прийомів, зокрема криголамів (емоційних і тематичних), активного слухання, інтерактивних завдань ("Дві правди – одна брехня", "Знайди зайве"), адаптованих психологічних технік ("Колесо життєвого балансу", "Розсади героїв за одним столом"), карт тем, а також різних форм рефлексії та письма як терапії. Обґрунтовується їхня роль у стимулюванні пізнавальної активності, розвитку критичного мислення, емоційного інтелекту та комунікативних навичок учнів, підвищенні включеності в навчальний процес, формуванні мотивації до вивчення рідної мови та поглибленні сприйняття художніх творів. Стаття адресована вчителям-практикам, які прагнуть розвивати сучасне учнівство не лише інтелектуально, а й емоційно, створюючи для них простір розвитку.</w:t>
      </w:r>
    </w:p>
    <w:p w14:paraId="4F164FAD">
      <w:pPr>
        <w:pStyle w:val="34"/>
        <w:keepNext w:val="0"/>
        <w:keepLines w:val="0"/>
        <w:widowControl/>
        <w:suppressLineNumbers w:val="0"/>
        <w:bidi w:val="0"/>
        <w:spacing w:before="0" w:beforeAutospacing="0" w:after="240" w:afterAutospacing="0" w:line="360" w:lineRule="auto"/>
        <w:rPr>
          <w:rFonts w:hint="default" w:ascii="Times New Roman" w:hAnsi="Times New Roman" w:cs="Times New Roman"/>
          <w:sz w:val="28"/>
          <w:szCs w:val="28"/>
        </w:rPr>
      </w:pPr>
      <w:r>
        <w:rPr>
          <w:rFonts w:hint="default" w:ascii="Times New Roman" w:hAnsi="Times New Roman" w:eastAsia="sans-serif" w:cs="Times New Roman"/>
          <w:b/>
          <w:bCs/>
          <w:i w:val="0"/>
          <w:iCs w:val="0"/>
          <w:color w:val="1B1C1D"/>
          <w:sz w:val="28"/>
          <w:szCs w:val="28"/>
          <w:u w:val="none"/>
          <w:vertAlign w:val="baseline"/>
        </w:rPr>
        <w:t>Ключові слова:</w:t>
      </w:r>
      <w:r>
        <w:rPr>
          <w:rFonts w:hint="default" w:ascii="Times New Roman" w:hAnsi="Times New Roman" w:eastAsia="sans-serif" w:cs="Times New Roman"/>
          <w:i w:val="0"/>
          <w:iCs w:val="0"/>
          <w:color w:val="1B1C1D"/>
          <w:sz w:val="28"/>
          <w:szCs w:val="28"/>
          <w:u w:val="none"/>
          <w:vertAlign w:val="baseline"/>
        </w:rPr>
        <w:t xml:space="preserve"> тьюторство, українська мова, українська література, емоційна безпека, підтримувальне середовище, учень, тьюторські інструменти, активне слухання, рефлексія.</w:t>
      </w:r>
    </w:p>
    <w:p w14:paraId="5DAE3499">
      <w:pPr>
        <w:keepNext w:val="0"/>
        <w:keepLines w:val="0"/>
        <w:widowControl/>
        <w:suppressLineNumbers w:val="0"/>
        <w:spacing w:line="360" w:lineRule="auto"/>
        <w:ind w:firstLine="720" w:firstLineChars="0"/>
        <w:jc w:val="left"/>
        <w:rPr>
          <w:rFonts w:hint="default" w:ascii="Times New Roman" w:hAnsi="Times New Roman" w:cs="Times New Roman"/>
          <w:sz w:val="28"/>
          <w:szCs w:val="28"/>
        </w:rPr>
      </w:pPr>
      <w:r>
        <w:rPr>
          <w:rFonts w:hint="default" w:ascii="Times New Roman" w:hAnsi="Times New Roman" w:eastAsia="sans-serif" w:cs="Times New Roman"/>
          <w:i w:val="0"/>
          <w:iCs w:val="0"/>
          <w:color w:val="1B1C1D"/>
          <w:kern w:val="0"/>
          <w:sz w:val="28"/>
          <w:szCs w:val="28"/>
          <w:u w:val="none"/>
          <w:vertAlign w:val="baseline"/>
          <w:lang w:val="en-US" w:eastAsia="zh-CN" w:bidi="ar"/>
        </w:rPr>
        <w:t xml:space="preserve">Сучасна українська школа стоїть перед викликом не лише забезпечити якісне навчання, а й підтримати учня в емоційно нестабільному світі. В умовах воєнного часу, інформаційного перевантаження та освітніх втрат особливо актуальним є створення середовища, в якому дитина почуватиметься прийнятою, захищеною та почутою. Як зазначає О.М. Спірін, підтримувальне освітнє середовище є "системою умов, що сприяють розвитку особистості, її самореалізації та самоактуалізації" [1, с. 45]. Саме </w:t>
      </w:r>
      <w:r>
        <w:rPr>
          <w:rFonts w:hint="default" w:ascii="Times New Roman" w:hAnsi="Times New Roman" w:eastAsia="sans-serif" w:cs="Times New Roman"/>
          <w:b w:val="0"/>
          <w:bCs w:val="0"/>
          <w:i w:val="0"/>
          <w:iCs w:val="0"/>
          <w:color w:val="1B1C1D"/>
          <w:kern w:val="0"/>
          <w:sz w:val="28"/>
          <w:szCs w:val="28"/>
          <w:u w:val="none"/>
          <w:vertAlign w:val="baseline"/>
          <w:lang w:val="en-US" w:eastAsia="zh-CN" w:bidi="ar"/>
        </w:rPr>
        <w:t>тьюторські інструменти стають тим містком, що поєднує знання й емоції, структ</w:t>
      </w:r>
      <w:r>
        <w:rPr>
          <w:rFonts w:hint="default" w:ascii="Times New Roman" w:hAnsi="Times New Roman" w:eastAsia="sans-serif" w:cs="Times New Roman"/>
          <w:i w:val="0"/>
          <w:iCs w:val="0"/>
          <w:color w:val="1B1C1D"/>
          <w:kern w:val="0"/>
          <w:sz w:val="28"/>
          <w:szCs w:val="28"/>
          <w:u w:val="none"/>
          <w:vertAlign w:val="baseline"/>
          <w:lang w:val="en-US" w:eastAsia="zh-CN" w:bidi="ar"/>
        </w:rPr>
        <w:t>уру й свободу, програму і внутрішні потреби дитини. Вони дозволяють індивідуалізувати освітній процес, враховувати унікальні потреби кожного учня та сприяти його всебічному розвитку. Метою статті є опис та аналіз тьюторських інструментів, що застосовуються на уроках української мови та літератури, як засобу створення підтримувального освітнього середовища, що сприяє як академічному, так і особистісному розвитку учнів.</w:t>
      </w:r>
    </w:p>
    <w:p w14:paraId="0FB1FCED">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sz w:val="28"/>
          <w:szCs w:val="28"/>
        </w:rPr>
      </w:pPr>
      <w:r>
        <w:rPr>
          <w:rFonts w:hint="default" w:ascii="Times New Roman" w:hAnsi="Times New Roman" w:eastAsia="sans-serif" w:cs="Times New Roman"/>
          <w:b w:val="0"/>
          <w:bCs w:val="0"/>
          <w:i w:val="0"/>
          <w:iCs w:val="0"/>
          <w:color w:val="1B1C1D"/>
          <w:sz w:val="28"/>
          <w:szCs w:val="28"/>
          <w:u w:val="none"/>
          <w:vertAlign w:val="baseline"/>
        </w:rPr>
        <w:t xml:space="preserve">Тьюторство </w:t>
      </w:r>
      <w:r>
        <w:rPr>
          <w:rFonts w:hint="default" w:ascii="Times New Roman" w:hAnsi="Times New Roman" w:eastAsia="sans-serif" w:cs="Times New Roman"/>
          <w:i w:val="0"/>
          <w:iCs w:val="0"/>
          <w:color w:val="1B1C1D"/>
          <w:sz w:val="28"/>
          <w:szCs w:val="28"/>
          <w:u w:val="none"/>
          <w:vertAlign w:val="baseline"/>
        </w:rPr>
        <w:t>- це  форма педагогічного супроводу, що ґрунтується на індивідуалізованій взаємодії між тьютором (вчителем) та тьюторантом (учнем)</w:t>
      </w:r>
      <w:r>
        <w:rPr>
          <w:rFonts w:hint="default" w:ascii="Times New Roman" w:hAnsi="Times New Roman" w:eastAsia="sans-serif" w:cs="Times New Roman"/>
          <w:i w:val="0"/>
          <w:iCs w:val="0"/>
          <w:color w:val="1B1C1D"/>
          <w:sz w:val="28"/>
          <w:szCs w:val="28"/>
          <w:u w:val="none"/>
          <w:vertAlign w:val="baseline"/>
          <w:lang w:val="uk-UA"/>
        </w:rPr>
        <w:t>, метою якого є</w:t>
      </w:r>
      <w:r>
        <w:rPr>
          <w:rFonts w:hint="default" w:ascii="Times New Roman" w:hAnsi="Times New Roman" w:eastAsia="sans-serif" w:cs="Times New Roman"/>
          <w:i w:val="0"/>
          <w:iCs w:val="0"/>
          <w:color w:val="1B1C1D"/>
          <w:sz w:val="28"/>
          <w:szCs w:val="28"/>
          <w:u w:val="none"/>
          <w:vertAlign w:val="baseline"/>
        </w:rPr>
        <w:t xml:space="preserve"> стимулювання самостійності учня в освітньому процесі та розвиток його освітнього потенціалу. Як зазначає Т.М. Ковальова, "тьюторство - це педагогічна діяльність з індивідуалізації освіти, що супроводжує процес формування освітнього замовлення учня та його реалізацію" [2, с. 19]. Основні принципи тьюторської взаємодії — це довіра, відкритість, рефлексія, індивідуалізація та підтримка. Створення «простору розвитку», за словами І. Ільїної та Є. Кузьміної, є умовою розкриття потенціалу учня. За словами Т.В. Швець, "тьюторська підтримка сприяє не лише академічним успіхам, а й особистісному зростанню учнів, формуванню їхньої самостійності та відповідальності за власне навчання" [7, с. 72]. Вона акцентує увагу на важливості вибудовування індивідуальної освітньої траєкторії для кожного здобувача освіти, що є центральним принципом тьюторства. За її словами, "головне завдання тьютора – не навчити, а навчити вчитися, розкрити потенціал учня, допомогти йому знайти власний шлях у здобутті знань" [7, с. 73]. Це підкреслює перехід від традиційної моделі "передачі знань" до моделі "супроводу та підтримки". Упровадження тьюторських інструментів на уроках української мови та літератури дозволяє ефективно реалізувати принципи особистісно орієнтованого навчання, компетентнісного підходу та педагогіки партнерства, що є фундаментальними для сучасної освіти.</w:t>
      </w:r>
    </w:p>
    <w:p w14:paraId="35B96D3C">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sz w:val="28"/>
          <w:szCs w:val="28"/>
        </w:rPr>
      </w:pPr>
      <w:r>
        <w:rPr>
          <w:rFonts w:hint="default" w:ascii="Times New Roman" w:hAnsi="Times New Roman" w:eastAsia="sans-serif" w:cs="Times New Roman"/>
          <w:i w:val="0"/>
          <w:iCs w:val="0"/>
          <w:color w:val="1B1C1D"/>
          <w:sz w:val="28"/>
          <w:szCs w:val="28"/>
          <w:u w:val="none"/>
          <w:vertAlign w:val="baseline"/>
        </w:rPr>
        <w:t xml:space="preserve">Ефективність тьюторських інструментів полягає в їхній здатності забезпечувати динамічний та багатоаспектний вплив на освітній процес. Серед ключових груп інструментів варто виділити </w:t>
      </w:r>
      <w:r>
        <w:rPr>
          <w:rFonts w:hint="default" w:ascii="Times New Roman" w:hAnsi="Times New Roman" w:eastAsia="sans-serif" w:cs="Times New Roman"/>
          <w:b w:val="0"/>
          <w:bCs w:val="0"/>
          <w:i w:val="0"/>
          <w:iCs w:val="0"/>
          <w:color w:val="1B1C1D"/>
          <w:sz w:val="28"/>
          <w:szCs w:val="28"/>
          <w:u w:val="none"/>
          <w:vertAlign w:val="baseline"/>
        </w:rPr>
        <w:t>криголами (</w:t>
      </w:r>
      <w:r>
        <w:rPr>
          <w:rFonts w:hint="default" w:ascii="Times New Roman" w:hAnsi="Times New Roman" w:eastAsia="sans-serif" w:cs="Times New Roman"/>
          <w:i w:val="0"/>
          <w:iCs w:val="0"/>
          <w:color w:val="1B1C1D"/>
          <w:sz w:val="28"/>
          <w:szCs w:val="28"/>
          <w:u w:val="none"/>
          <w:vertAlign w:val="baseline"/>
        </w:rPr>
        <w:t>icebreakers), що є невід'ємною складовою вступної фази уроку. Їхнє основне призначення – зняття психологічної напруги, налагодження комунікації та формування позитивного емоційного фону. "Криголами допомагають створити атмосферу довіри та відкритості, що є передумовою ефективного навчання," – підкреслює Н.В. Прокопенко [3, с. 67]. Емоційні криголами, такі як "Квітка настрою" (діти обирають квітку, що відповідає їхньому емоційному стану) або "Герої в настроях" (зображення казкових або літературних персонажів у різних емоціях), створюють атмосферу прийняття, дають змогу вчителю відчути настрій класу, а учням — усвідомити власний стан. Тематичні криголами фокусуються на актуалізації попередніх знань та створенні асоціативних зв'язків з новою темою, стимулюючи колективне генерування ідей та активізацію пізнавальної діяльності.</w:t>
      </w:r>
    </w:p>
    <w:p w14:paraId="7D5B4FC9">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sz w:val="28"/>
          <w:szCs w:val="28"/>
        </w:rPr>
      </w:pPr>
      <w:r>
        <w:rPr>
          <w:rFonts w:hint="default" w:ascii="Times New Roman" w:hAnsi="Times New Roman" w:eastAsia="sans-serif" w:cs="Times New Roman"/>
          <w:b w:val="0"/>
          <w:bCs w:val="0"/>
          <w:i w:val="0"/>
          <w:iCs w:val="0"/>
          <w:color w:val="1B1C1D"/>
          <w:sz w:val="28"/>
          <w:szCs w:val="28"/>
          <w:u w:val="none"/>
          <w:vertAlign w:val="baseline"/>
        </w:rPr>
        <w:t>Активне слухання</w:t>
      </w:r>
      <w:r>
        <w:rPr>
          <w:rFonts w:hint="default" w:ascii="Times New Roman" w:hAnsi="Times New Roman" w:eastAsia="sans-serif" w:cs="Times New Roman"/>
          <w:i w:val="0"/>
          <w:iCs w:val="0"/>
          <w:color w:val="1B1C1D"/>
          <w:sz w:val="28"/>
          <w:szCs w:val="28"/>
          <w:u w:val="none"/>
          <w:vertAlign w:val="baseline"/>
        </w:rPr>
        <w:t xml:space="preserve"> є фундаментальним тьюторським інструментом, що забезпечує глибоке розуміння потреб учня, його думок та емоцій. Це не просто пасивне сприйняття інформації, а цілеспрямована діяльність, що передбачає зосередженість, емпатію та зворотний зв'язок. В умовах підтримувального середовища, як зазначає К. Роджерс, "емпатичне розуміння є одним із трьох ключових умов для конструктивної зміни особистості" [8, с. 61]. На уроках української мови та літератури активне слухання реалізується через уважне сприйняття відповідей учнів, уточнюючі запитання, перефразування та резюмування, а також заохочення до продовження висловлювання. Активне слухання створює атмосферу довіри, де учень відчуває себе почутим і зрозумілим, що є критично важливим для його відкритості до навчання та розвитку.</w:t>
      </w:r>
    </w:p>
    <w:p w14:paraId="66BD3488">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sz w:val="28"/>
          <w:szCs w:val="28"/>
        </w:rPr>
      </w:pPr>
      <w:r>
        <w:rPr>
          <w:rFonts w:hint="default" w:ascii="Times New Roman" w:hAnsi="Times New Roman" w:eastAsia="sans-serif" w:cs="Times New Roman"/>
          <w:b w:val="0"/>
          <w:bCs w:val="0"/>
          <w:i w:val="0"/>
          <w:iCs w:val="0"/>
          <w:color w:val="1B1C1D"/>
          <w:sz w:val="28"/>
          <w:szCs w:val="28"/>
          <w:u w:val="none"/>
          <w:vertAlign w:val="baseline"/>
        </w:rPr>
        <w:t>Інтерактивні вправи є потужним засобом для залучення учнів до активного пізнавального процесу, розвитку їхнього аналітичного мислення та здатності до обґрунтування власної позиції. Вправа "Дві правди - одна брехня" формує навички критичної оцінки інформації, аналізу та синтезу, тоді як "Знайди зайве" спря</w:t>
      </w:r>
      <w:r>
        <w:rPr>
          <w:rFonts w:hint="default" w:ascii="Times New Roman" w:hAnsi="Times New Roman" w:eastAsia="sans-serif" w:cs="Times New Roman"/>
          <w:i w:val="0"/>
          <w:iCs w:val="0"/>
          <w:color w:val="1B1C1D"/>
          <w:sz w:val="28"/>
          <w:szCs w:val="28"/>
          <w:u w:val="none"/>
          <w:vertAlign w:val="baseline"/>
        </w:rPr>
        <w:t>мована на розвиток логічного мислення та здатності до класифікації. "Такі вправи сприяють не просто запам'ятовуванню, а розумінню та осмисленню матеріалу," – наголошує О.І. Пометун [4, с. 112].</w:t>
      </w:r>
    </w:p>
    <w:p w14:paraId="333DE0D4">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b w:val="0"/>
          <w:bCs w:val="0"/>
          <w:sz w:val="28"/>
          <w:szCs w:val="28"/>
        </w:rPr>
      </w:pPr>
      <w:r>
        <w:rPr>
          <w:rFonts w:hint="default" w:ascii="Times New Roman" w:hAnsi="Times New Roman" w:eastAsia="sans-serif" w:cs="Times New Roman"/>
          <w:b w:val="0"/>
          <w:bCs w:val="0"/>
          <w:i w:val="0"/>
          <w:iCs w:val="0"/>
          <w:color w:val="1B1C1D"/>
          <w:sz w:val="28"/>
          <w:szCs w:val="28"/>
          <w:u w:val="none"/>
          <w:vertAlign w:val="baseline"/>
        </w:rPr>
        <w:t>Ефективне використання тьюторських інструментів передбачає адаптацію методик з інших галузей знань. "Колесо життєвого балансу", традиційно використовуваний у коучингу, ефективно інтегрується в уроки літератури для поглибленого аналізу образів персонажів або біографій письменників, сприяючи розвитку емпатії та розумінню мотивації. Креативна вправа "Розсади героїв за одним столом" є потужним засобом розвитку уяви, критичного мислення та навичок аргументації. "Така діяльність стимулює учнів не просто відтворювати зміст твору, а інтерпретувати його, шукати глибинні зв'язки між персонажами," – зазначає Л.В. Щербакова [5, с. 88].</w:t>
      </w:r>
    </w:p>
    <w:p w14:paraId="4B8BF929">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sz w:val="28"/>
          <w:szCs w:val="28"/>
        </w:rPr>
      </w:pPr>
      <w:r>
        <w:rPr>
          <w:rFonts w:hint="default" w:ascii="Times New Roman" w:hAnsi="Times New Roman" w:eastAsia="sans-serif" w:cs="Times New Roman"/>
          <w:b w:val="0"/>
          <w:bCs w:val="0"/>
          <w:i w:val="0"/>
          <w:iCs w:val="0"/>
          <w:color w:val="1B1C1D"/>
          <w:sz w:val="28"/>
          <w:szCs w:val="28"/>
          <w:u w:val="none"/>
          <w:vertAlign w:val="baseline"/>
        </w:rPr>
        <w:t>Карти тем та предмету</w:t>
      </w:r>
      <w:r>
        <w:rPr>
          <w:rFonts w:hint="default" w:ascii="Times New Roman" w:hAnsi="Times New Roman" w:eastAsia="sans-serif" w:cs="Times New Roman"/>
          <w:i w:val="0"/>
          <w:iCs w:val="0"/>
          <w:color w:val="1B1C1D"/>
          <w:sz w:val="28"/>
          <w:szCs w:val="28"/>
          <w:u w:val="none"/>
          <w:vertAlign w:val="baseline"/>
        </w:rPr>
        <w:t xml:space="preserve"> (ментальні карти, інтелект-карти) є візуальним інструментом для структурування та систематизації інформації, що сприяє розвитку асоціативного та логічного мислення. Учні можуть самостійно або в групах створювати їх для узагальнення вивчених тем, візуалізуючи взаємозв'язки між поняттями.</w:t>
      </w:r>
    </w:p>
    <w:p w14:paraId="5C198EF5">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sz w:val="28"/>
          <w:szCs w:val="28"/>
        </w:rPr>
      </w:pPr>
      <w:r>
        <w:rPr>
          <w:rFonts w:hint="default" w:ascii="Times New Roman" w:hAnsi="Times New Roman" w:eastAsia="sans-serif" w:cs="Times New Roman"/>
          <w:b w:val="0"/>
          <w:bCs w:val="0"/>
          <w:i w:val="0"/>
          <w:iCs w:val="0"/>
          <w:color w:val="1B1C1D"/>
          <w:sz w:val="28"/>
          <w:szCs w:val="28"/>
          <w:u w:val="none"/>
          <w:vertAlign w:val="baseline"/>
        </w:rPr>
        <w:t xml:space="preserve">Рефлексія </w:t>
      </w:r>
      <w:r>
        <w:rPr>
          <w:rFonts w:hint="default" w:ascii="Times New Roman" w:hAnsi="Times New Roman" w:eastAsia="sans-serif" w:cs="Times New Roman"/>
          <w:i w:val="0"/>
          <w:iCs w:val="0"/>
          <w:color w:val="1B1C1D"/>
          <w:sz w:val="28"/>
          <w:szCs w:val="28"/>
          <w:u w:val="none"/>
          <w:vertAlign w:val="baseline"/>
        </w:rPr>
        <w:t>є невід'ємним компонентом тьюторського супроводу, що дозволяє учням усвідомити результати своєї навчальної діяльності, ідентифікувати сильні сторони та зони зростання, а також емоційно осмислити пережитий досвід. Як стверджує І.Д. Бех, "рефлексія є важливим механізмом саморозвитку особистості, що забезпечує усвідомлення власного досвіду та формування нових смислів" [6, с. 73]. Емоційна рефлексія реалізується через "смайлики настрою" а</w:t>
      </w:r>
      <w:r>
        <w:rPr>
          <w:rFonts w:hint="default" w:ascii="Times New Roman" w:hAnsi="Times New Roman" w:eastAsia="sans-serif" w:cs="Times New Roman"/>
          <w:b w:val="0"/>
          <w:bCs w:val="0"/>
          <w:i w:val="0"/>
          <w:iCs w:val="0"/>
          <w:color w:val="1B1C1D"/>
          <w:sz w:val="28"/>
          <w:szCs w:val="28"/>
          <w:u w:val="none"/>
          <w:vertAlign w:val="baseline"/>
        </w:rPr>
        <w:t>бо рефлексивні запитання</w:t>
      </w:r>
      <w:r>
        <w:rPr>
          <w:rFonts w:hint="default" w:ascii="Times New Roman" w:hAnsi="Times New Roman" w:eastAsia="sans-serif" w:cs="Times New Roman"/>
          <w:i w:val="0"/>
          <w:iCs w:val="0"/>
          <w:color w:val="1B1C1D"/>
          <w:sz w:val="28"/>
          <w:szCs w:val="28"/>
          <w:u w:val="none"/>
          <w:vertAlign w:val="baseline"/>
        </w:rPr>
        <w:t xml:space="preserve"> після читання літературного твору ("Що зробив би ти на місці героя?", "Яку емоцію викликала у тебе ця ситуація?", "Чи бували в тебе подібні відчуття?"), що допомагає учням глибше розуміти текст і себе. Тематична рефлексія включає вправи "Три речі, які я дізнався/ла", "Питання, яке залишилось" та "Один крок", що стимулюють узагальнення ключових ідей та формування навичок практичного застосування знань.</w:t>
      </w:r>
    </w:p>
    <w:p w14:paraId="3F8CCBE0">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b w:val="0"/>
          <w:bCs w:val="0"/>
          <w:sz w:val="28"/>
          <w:szCs w:val="28"/>
        </w:rPr>
      </w:pPr>
      <w:r>
        <w:rPr>
          <w:rFonts w:hint="default" w:ascii="Times New Roman" w:hAnsi="Times New Roman" w:eastAsia="sans-serif" w:cs="Times New Roman"/>
          <w:b w:val="0"/>
          <w:bCs w:val="0"/>
          <w:i w:val="0"/>
          <w:iCs w:val="0"/>
          <w:color w:val="1B1C1D"/>
          <w:sz w:val="28"/>
          <w:szCs w:val="28"/>
          <w:u w:val="none"/>
          <w:vertAlign w:val="baseline"/>
        </w:rPr>
        <w:t>Індивідуалізація навчання є ключовим принципом тьюторства. Пропозиція учням обирати завдання відповідно до власного темпу чи інтересів значно підвищує їхню мотивацію та відповідальність. Це можуть бути завдання формату "Обери одне з трьох" (творче, аналітичне або медіа-завдання), робота з картками "Що б ти обрав?" із вправами на орфографію або створення власних маршрутів читання. На уроках мови й літератури письмові вправи також можуть нести не лише навчальне, а й емоційно-терапевтичне значення. "Лист герою твору", "Що б я хотів сказати автору" або "Моє мовне дерево" – це вправи, які дають учням можливість висловити свої почуття, осмислити переживання та дослідити власне мовне середовище. Ці тексти несуть не лише навчальне, а й емоційно-терапевтичне значення, сприяючи самопізнанню та розвитку емоційного інтелекту.</w:t>
      </w:r>
    </w:p>
    <w:p w14:paraId="08EADD9D">
      <w:pPr>
        <w:pStyle w:val="34"/>
        <w:keepNext w:val="0"/>
        <w:keepLines w:val="0"/>
        <w:widowControl/>
        <w:suppressLineNumbers w:val="0"/>
        <w:bidi w:val="0"/>
        <w:spacing w:before="0" w:beforeAutospacing="0" w:after="240" w:afterAutospacing="0" w:line="360" w:lineRule="auto"/>
        <w:ind w:firstLine="720" w:firstLineChars="0"/>
        <w:rPr>
          <w:rFonts w:hint="default" w:ascii="Times New Roman" w:hAnsi="Times New Roman" w:cs="Times New Roman"/>
          <w:b w:val="0"/>
          <w:bCs w:val="0"/>
          <w:sz w:val="28"/>
          <w:szCs w:val="28"/>
        </w:rPr>
      </w:pPr>
      <w:r>
        <w:rPr>
          <w:rFonts w:hint="default" w:ascii="Times New Roman" w:hAnsi="Times New Roman" w:eastAsia="sans-serif" w:cs="Times New Roman"/>
          <w:b w:val="0"/>
          <w:bCs w:val="0"/>
          <w:i w:val="0"/>
          <w:iCs w:val="0"/>
          <w:color w:val="1B1C1D"/>
          <w:sz w:val="28"/>
          <w:szCs w:val="28"/>
          <w:u w:val="none"/>
          <w:vertAlign w:val="baseline"/>
        </w:rPr>
        <w:t>Упровадження тьюторських інструментів на уроках української мови та літератури є дієвим засобом створення підтримувального освітнього середовища. Ці інструменти дозволяють створити урок, на якому учень почувається не об’єктом контролю, а суб’єктом дії. Вони сприяють не лише глибшому засвоєнню програмного матеріалу, а й забезпечують розвиток ключових компетентностей учнів: критичного мислення, креативності, комунікативних навичок (включаючи активне слухання), емоційного інтелекту та навичок самостійного навчання. Саме підтримувальне середовище є базою для розвитку мотивації, мислення, мови, емпатії. Педагог, який володіє тьюторським інструментарієм, не лише навчає, а й супроводжує — а це сьогодні надзвичайно важливо. Подальші дослідження можуть бути зосереджені на кількісній оцінці ефективності цих інструментів та розробці нових, адаптованих до специфіки предмету "Українська мова та література".</w:t>
      </w:r>
    </w:p>
    <w:p w14:paraId="03650CA9">
      <w:pPr>
        <w:keepNext w:val="0"/>
        <w:keepLines w:val="0"/>
        <w:widowControl/>
        <w:suppressLineNumbers w:val="0"/>
        <w:spacing w:line="360" w:lineRule="auto"/>
        <w:jc w:val="center"/>
        <w:rPr>
          <w:rFonts w:hint="default" w:ascii="Times New Roman" w:hAnsi="Times New Roman"/>
          <w:b/>
          <w:bCs/>
          <w:sz w:val="28"/>
          <w:szCs w:val="28"/>
        </w:rPr>
      </w:pPr>
      <w:r>
        <w:rPr>
          <w:rFonts w:hint="default" w:ascii="Times New Roman" w:hAnsi="Times New Roman"/>
          <w:b/>
          <w:bCs/>
          <w:sz w:val="28"/>
          <w:szCs w:val="28"/>
        </w:rPr>
        <w:t>Список використаних джерел</w:t>
      </w:r>
    </w:p>
    <w:p w14:paraId="531C2A0D">
      <w:pPr>
        <w:keepNext w:val="0"/>
        <w:keepLines w:val="0"/>
        <w:widowControl/>
        <w:suppressLineNumbers w:val="0"/>
        <w:spacing w:line="360" w:lineRule="auto"/>
        <w:rPr>
          <w:rFonts w:hint="default" w:ascii="Times New Roman" w:hAnsi="Times New Roman"/>
          <w:sz w:val="28"/>
          <w:szCs w:val="28"/>
        </w:rPr>
      </w:pPr>
    </w:p>
    <w:p w14:paraId="63F4DDB4">
      <w:pPr>
        <w:keepNext w:val="0"/>
        <w:keepLines w:val="0"/>
        <w:widowControl/>
        <w:numPr>
          <w:ilvl w:val="0"/>
          <w:numId w:val="7"/>
        </w:numPr>
        <w:suppressLineNumbers w:val="0"/>
        <w:spacing w:line="360" w:lineRule="auto"/>
        <w:rPr>
          <w:rFonts w:hint="default" w:ascii="Times New Roman" w:hAnsi="Times New Roman"/>
          <w:sz w:val="28"/>
          <w:szCs w:val="28"/>
        </w:rPr>
      </w:pPr>
      <w:r>
        <w:rPr>
          <w:rFonts w:hint="default" w:ascii="Times New Roman" w:hAnsi="Times New Roman"/>
          <w:sz w:val="28"/>
          <w:szCs w:val="28"/>
        </w:rPr>
        <w:t>Спірін О.М. Інформаційно-комунікаційні технології в системі професійної підготовки вчителя: теорія і практика: монографія. Житомир: Вид-во ЖДУ ім. І. Франка, 2007. 396 с.</w:t>
      </w:r>
    </w:p>
    <w:p w14:paraId="2580C9FB">
      <w:pPr>
        <w:keepNext w:val="0"/>
        <w:keepLines w:val="0"/>
        <w:widowControl/>
        <w:numPr>
          <w:ilvl w:val="0"/>
          <w:numId w:val="7"/>
        </w:numPr>
        <w:suppressLineNumbers w:val="0"/>
        <w:spacing w:line="360" w:lineRule="auto"/>
        <w:ind w:left="0" w:leftChars="0" w:firstLine="0" w:firstLineChars="0"/>
        <w:rPr>
          <w:rFonts w:hint="default" w:ascii="Times New Roman" w:hAnsi="Times New Roman"/>
          <w:sz w:val="28"/>
          <w:szCs w:val="28"/>
        </w:rPr>
      </w:pPr>
      <w:r>
        <w:rPr>
          <w:rFonts w:hint="default" w:ascii="Times New Roman" w:hAnsi="Times New Roman"/>
          <w:sz w:val="28"/>
          <w:szCs w:val="28"/>
        </w:rPr>
        <w:t>Ковальова Т.М. Тьюторство як педагогічний феномен. Москва: Інститут тьюторства, 2010. 200 с.</w:t>
      </w:r>
    </w:p>
    <w:p w14:paraId="411CFD83">
      <w:pPr>
        <w:keepNext w:val="0"/>
        <w:keepLines w:val="0"/>
        <w:widowControl/>
        <w:numPr>
          <w:ilvl w:val="0"/>
          <w:numId w:val="7"/>
        </w:numPr>
        <w:suppressLineNumbers w:val="0"/>
        <w:spacing w:line="360" w:lineRule="auto"/>
        <w:ind w:left="0" w:leftChars="0" w:firstLine="0" w:firstLineChars="0"/>
        <w:rPr>
          <w:rFonts w:hint="default" w:ascii="Times New Roman" w:hAnsi="Times New Roman"/>
          <w:sz w:val="28"/>
          <w:szCs w:val="28"/>
        </w:rPr>
      </w:pPr>
      <w:r>
        <w:rPr>
          <w:rFonts w:hint="default" w:ascii="Times New Roman" w:hAnsi="Times New Roman"/>
          <w:sz w:val="28"/>
          <w:szCs w:val="28"/>
        </w:rPr>
        <w:t>Прокопенко Н.В. Інтерактивні методи навчання в школі. Харків: Основа, 2013. 128 с.</w:t>
      </w:r>
    </w:p>
    <w:p w14:paraId="0159BA11">
      <w:pPr>
        <w:keepNext w:val="0"/>
        <w:keepLines w:val="0"/>
        <w:widowControl/>
        <w:numPr>
          <w:ilvl w:val="0"/>
          <w:numId w:val="7"/>
        </w:numPr>
        <w:suppressLineNumbers w:val="0"/>
        <w:spacing w:line="360" w:lineRule="auto"/>
        <w:ind w:left="0" w:leftChars="0" w:firstLine="0" w:firstLineChars="0"/>
        <w:rPr>
          <w:rFonts w:hint="default" w:ascii="Times New Roman" w:hAnsi="Times New Roman"/>
          <w:sz w:val="28"/>
          <w:szCs w:val="28"/>
        </w:rPr>
      </w:pPr>
      <w:r>
        <w:rPr>
          <w:rFonts w:hint="default" w:ascii="Times New Roman" w:hAnsi="Times New Roman"/>
          <w:sz w:val="28"/>
          <w:szCs w:val="28"/>
        </w:rPr>
        <w:t>Пометун О.І. Енциклопедія інтерактивного навчання. Київ: А.С.К., 2007. 144 с.</w:t>
      </w:r>
    </w:p>
    <w:p w14:paraId="5C916FE6">
      <w:pPr>
        <w:keepNext w:val="0"/>
        <w:keepLines w:val="0"/>
        <w:widowControl/>
        <w:numPr>
          <w:ilvl w:val="0"/>
          <w:numId w:val="7"/>
        </w:numPr>
        <w:suppressLineNumbers w:val="0"/>
        <w:spacing w:line="360" w:lineRule="auto"/>
        <w:ind w:left="0" w:leftChars="0" w:firstLine="0" w:firstLineChars="0"/>
        <w:rPr>
          <w:rFonts w:hint="default" w:ascii="Times New Roman" w:hAnsi="Times New Roman"/>
          <w:sz w:val="28"/>
          <w:szCs w:val="28"/>
        </w:rPr>
      </w:pPr>
      <w:r>
        <w:rPr>
          <w:rFonts w:hint="default" w:ascii="Times New Roman" w:hAnsi="Times New Roman"/>
          <w:sz w:val="28"/>
          <w:szCs w:val="28"/>
        </w:rPr>
        <w:t>Щербакова Л.В. Методика викладання української літератури: навч. посіб. Київ: ВЦ "Академія", 2015. 320 с.</w:t>
      </w:r>
    </w:p>
    <w:p w14:paraId="03D043DD">
      <w:pPr>
        <w:keepNext w:val="0"/>
        <w:keepLines w:val="0"/>
        <w:widowControl/>
        <w:numPr>
          <w:ilvl w:val="0"/>
          <w:numId w:val="7"/>
        </w:numPr>
        <w:suppressLineNumbers w:val="0"/>
        <w:spacing w:line="360" w:lineRule="auto"/>
        <w:ind w:left="0" w:leftChars="0" w:firstLine="0" w:firstLineChars="0"/>
        <w:rPr>
          <w:rFonts w:hint="default" w:ascii="Times New Roman" w:hAnsi="Times New Roman"/>
          <w:sz w:val="28"/>
          <w:szCs w:val="28"/>
        </w:rPr>
      </w:pPr>
      <w:r>
        <w:rPr>
          <w:rFonts w:hint="default" w:ascii="Times New Roman" w:hAnsi="Times New Roman"/>
          <w:sz w:val="28"/>
          <w:szCs w:val="28"/>
        </w:rPr>
        <w:t>Бех І.Д. Виховання особистості: Сходження до духовності. Київ: Либідь, 2006. 272 с.</w:t>
      </w:r>
    </w:p>
    <w:p w14:paraId="305907BD">
      <w:pPr>
        <w:keepNext w:val="0"/>
        <w:keepLines w:val="0"/>
        <w:widowControl/>
        <w:numPr>
          <w:ilvl w:val="0"/>
          <w:numId w:val="7"/>
        </w:numPr>
        <w:suppressLineNumbers w:val="0"/>
        <w:spacing w:line="360" w:lineRule="auto"/>
        <w:ind w:left="0" w:leftChars="0" w:firstLine="0" w:firstLineChars="0"/>
        <w:rPr>
          <w:rFonts w:hint="default" w:ascii="Times New Roman" w:hAnsi="Times New Roman"/>
          <w:sz w:val="28"/>
          <w:szCs w:val="28"/>
        </w:rPr>
      </w:pPr>
      <w:r>
        <w:rPr>
          <w:rFonts w:hint="default" w:ascii="Times New Roman" w:hAnsi="Times New Roman"/>
          <w:sz w:val="28"/>
          <w:szCs w:val="28"/>
        </w:rPr>
        <w:t xml:space="preserve">Швець Т. В. Тьюторський супровід в умовах сучасної школи: виклики та перспективи. Наука і освіта, 2022. № 3. С. 70-76. DOI: </w:t>
      </w:r>
      <w:r>
        <w:rPr>
          <w:rFonts w:hint="default" w:ascii="Times New Roman" w:hAnsi="Times New Roman"/>
          <w:sz w:val="28"/>
          <w:szCs w:val="28"/>
        </w:rPr>
        <w:fldChar w:fldCharType="begin"/>
      </w:r>
      <w:r>
        <w:rPr>
          <w:rFonts w:hint="default" w:ascii="Times New Roman" w:hAnsi="Times New Roman"/>
          <w:sz w:val="28"/>
          <w:szCs w:val="28"/>
        </w:rPr>
        <w:instrText xml:space="preserve"> HYPERLINK "https://scienceandeducation.pdpu.edu.ua/articles/2022-3-doc/2022-3-8" </w:instrText>
      </w:r>
      <w:r>
        <w:rPr>
          <w:rFonts w:hint="default" w:ascii="Times New Roman" w:hAnsi="Times New Roman"/>
          <w:sz w:val="28"/>
          <w:szCs w:val="28"/>
        </w:rPr>
        <w:fldChar w:fldCharType="separate"/>
      </w:r>
      <w:r>
        <w:rPr>
          <w:rStyle w:val="20"/>
          <w:rFonts w:hint="default" w:ascii="Times New Roman" w:hAnsi="Times New Roman"/>
          <w:sz w:val="28"/>
          <w:szCs w:val="28"/>
        </w:rPr>
        <w:t>https://scienceandeducation.pdpu.edu.ua/articles/2022-3-doc/2022-3-8</w:t>
      </w:r>
      <w:r>
        <w:rPr>
          <w:rFonts w:hint="default" w:ascii="Times New Roman" w:hAnsi="Times New Roman"/>
          <w:sz w:val="28"/>
          <w:szCs w:val="28"/>
        </w:rPr>
        <w:fldChar w:fldCharType="end"/>
      </w:r>
      <w:r>
        <w:rPr>
          <w:rFonts w:hint="default" w:ascii="Times New Roman" w:hAnsi="Times New Roman"/>
          <w:sz w:val="28"/>
          <w:szCs w:val="28"/>
          <w:lang w:val="uk-UA"/>
        </w:rPr>
        <w:t xml:space="preserve"> </w:t>
      </w:r>
      <w:bookmarkStart w:id="0" w:name="_GoBack"/>
      <w:bookmarkEnd w:id="0"/>
    </w:p>
    <w:p w14:paraId="53A71438">
      <w:pPr>
        <w:keepNext w:val="0"/>
        <w:keepLines w:val="0"/>
        <w:widowControl/>
        <w:numPr>
          <w:ilvl w:val="0"/>
          <w:numId w:val="7"/>
        </w:numPr>
        <w:suppressLineNumbers w:val="0"/>
        <w:spacing w:line="360" w:lineRule="auto"/>
        <w:ind w:left="0" w:leftChars="0" w:firstLine="0" w:firstLineChars="0"/>
        <w:rPr>
          <w:rFonts w:hint="default" w:ascii="Times New Roman" w:hAnsi="Times New Roman"/>
          <w:sz w:val="28"/>
          <w:szCs w:val="28"/>
        </w:rPr>
      </w:pPr>
      <w:r>
        <w:rPr>
          <w:rFonts w:hint="default" w:ascii="Times New Roman" w:hAnsi="Times New Roman"/>
          <w:sz w:val="28"/>
          <w:szCs w:val="28"/>
        </w:rPr>
        <w:t>Роджерс К.Р. Свобода учиться: Пер. с англ. М.: Смысл, 2002. 240 с.</w:t>
      </w:r>
    </w:p>
    <w:p w14:paraId="6883153E">
      <w:pPr>
        <w:keepNext w:val="0"/>
        <w:keepLines w:val="0"/>
        <w:widowControl/>
        <w:suppressLineNumbers w:val="0"/>
        <w:spacing w:line="360" w:lineRule="auto"/>
        <w:rPr>
          <w:rFonts w:hint="default" w:ascii="Times New Roman" w:hAnsi="Times New Roman" w:cs="Times New Roman"/>
          <w:sz w:val="28"/>
          <w:szCs w:val="28"/>
        </w:rPr>
      </w:pPr>
    </w:p>
    <w:p w14:paraId="15C1D625">
      <w:pPr>
        <w:keepNext w:val="0"/>
        <w:keepLines w:val="0"/>
        <w:widowControl/>
        <w:suppressLineNumbers w:val="0"/>
        <w:spacing w:line="360" w:lineRule="auto"/>
        <w:jc w:val="left"/>
        <w:rPr>
          <w:rFonts w:hint="default" w:ascii="Times New Roman" w:hAnsi="Times New Roman" w:cs="Times New Roman"/>
          <w:sz w:val="28"/>
          <w:szCs w:val="28"/>
        </w:rPr>
      </w:pPr>
    </w:p>
    <w:p w14:paraId="00F03268">
      <w:pPr>
        <w:spacing w:line="360" w:lineRule="auto"/>
        <w:ind w:firstLine="706"/>
        <w:rPr>
          <w:rFonts w:hint="default" w:ascii="Times New Roman" w:hAnsi="Times New Roman" w:cs="Times New Roman"/>
          <w:sz w:val="28"/>
          <w:szCs w:val="28"/>
        </w:rPr>
      </w:pPr>
    </w:p>
    <w:sectPr>
      <w:pgSz w:w="12240" w:h="15840"/>
      <w:pgMar w:top="1138" w:right="1138" w:bottom="1138" w:left="1699"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Yu Gothic">
    <w:panose1 w:val="020B0400000000000000"/>
    <w:charset w:val="80"/>
    <w:family w:val="auto"/>
    <w:pitch w:val="default"/>
    <w:sig w:usb0="E00002FF" w:usb1="2AC7FDFF" w:usb2="00000016" w:usb3="00000000" w:csb0="2002009F" w:csb1="00000000"/>
  </w:font>
  <w:font w:name="Agency FB">
    <w:panose1 w:val="020B0503020202020204"/>
    <w:charset w:val="00"/>
    <w:family w:val="auto"/>
    <w:pitch w:val="default"/>
    <w:sig w:usb0="00000003" w:usb1="00000000" w:usb2="00000000" w:usb3="00000000" w:csb0="20000001" w:csb1="00000000"/>
  </w:font>
  <w:font w:name="Bahnschrift Light">
    <w:panose1 w:val="020B0502040204020203"/>
    <w:charset w:val="00"/>
    <w:family w:val="auto"/>
    <w:pitch w:val="default"/>
    <w:sig w:usb0="A00002C7" w:usb1="00000002" w:usb2="00000000" w:usb3="00000000" w:csb0="2000019F" w:csb1="00000000"/>
  </w:font>
  <w:font w:name="Arial Black">
    <w:panose1 w:val="020B0A04020102020204"/>
    <w:charset w:val="00"/>
    <w:family w:val="auto"/>
    <w:pitch w:val="default"/>
    <w:sig w:usb0="A00002AF" w:usb1="400078FB" w:usb2="00000000" w:usb3="00000000" w:csb0="6000009F" w:csb1="DFD70000"/>
  </w:font>
  <w:font w:name="Bodoni MT Black">
    <w:panose1 w:val="02070A03080606020203"/>
    <w:charset w:val="00"/>
    <w:family w:val="auto"/>
    <w:pitch w:val="default"/>
    <w:sig w:usb0="00000003" w:usb1="00000000" w:usb2="00000000" w:usb3="00000000" w:csb0="20000001" w:csb1="00000000"/>
  </w:font>
  <w:font w:name="Bradley Hand ITC">
    <w:panose1 w:val="03070402050302030203"/>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Cascadia Code ExtraLight">
    <w:panose1 w:val="020B0609020000020004"/>
    <w:charset w:val="00"/>
    <w:family w:val="auto"/>
    <w:pitch w:val="default"/>
    <w:sig w:usb0="A1002AFF" w:usb1="C200F9FB" w:usb2="00040020" w:usb3="00000000" w:csb0="600001FF" w:csb1="FFFF0000"/>
  </w:font>
  <w:font w:name="Cascadia Mono Light">
    <w:panose1 w:val="020B0609020000020004"/>
    <w:charset w:val="00"/>
    <w:family w:val="auto"/>
    <w:pitch w:val="default"/>
    <w:sig w:usb0="A1002AFF" w:usb1="C200F9FB" w:usb2="00040020" w:usb3="00000000" w:csb0="600001FF" w:csb1="FFFF0000"/>
  </w:font>
  <w:font w:name="Castellar">
    <w:panose1 w:val="020A0402060406010301"/>
    <w:charset w:val="00"/>
    <w:family w:val="auto"/>
    <w:pitch w:val="default"/>
    <w:sig w:usb0="00000003" w:usb1="00000000" w:usb2="00000000" w:usb3="00000000" w:csb0="20000001" w:csb1="00000000"/>
  </w:font>
  <w:font w:name="Century Gothic">
    <w:panose1 w:val="020B0502020202020204"/>
    <w:charset w:val="00"/>
    <w:family w:val="auto"/>
    <w:pitch w:val="default"/>
    <w:sig w:usb0="00000287" w:usb1="00000000" w:usb2="00000000" w:usb3="00000000" w:csb0="2000009F" w:csb1="DFD70000"/>
  </w:font>
  <w:font w:name="French Script MT">
    <w:panose1 w:val="03020402040607040605"/>
    <w:charset w:val="00"/>
    <w:family w:val="auto"/>
    <w:pitch w:val="default"/>
    <w:sig w:usb0="00000003" w:usb1="00000000" w:usb2="00000000" w:usb3="00000000" w:csb0="20000001" w:csb1="00000000"/>
  </w:font>
  <w:font w:name="Garamond">
    <w:panose1 w:val="02020404030301010803"/>
    <w:charset w:val="00"/>
    <w:family w:val="auto"/>
    <w:pitch w:val="default"/>
    <w:sig w:usb0="00000287" w:usb1="00000000" w:usb2="00000000" w:usb3="00000000" w:csb0="0000009F" w:csb1="DFD7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2"/>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1"/>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6"/>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5"/>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0"/>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4"/>
      <w:lvlText w:val=""/>
      <w:lvlJc w:val="left"/>
      <w:pPr>
        <w:tabs>
          <w:tab w:val="left" w:pos="360"/>
        </w:tabs>
        <w:ind w:left="360" w:hanging="360"/>
      </w:pPr>
      <w:rPr>
        <w:rFonts w:hint="default" w:ascii="Symbol" w:hAnsi="Symbol"/>
      </w:rPr>
    </w:lvl>
  </w:abstractNum>
  <w:abstractNum w:abstractNumId="6">
    <w:nsid w:val="2C75E831"/>
    <w:multiLevelType w:val="singleLevel"/>
    <w:tmpl w:val="2C75E831"/>
    <w:lvl w:ilvl="0" w:tentative="0">
      <w:start w:val="1"/>
      <w:numFmt w:val="decimal"/>
      <w:suff w:val="space"/>
      <w:lvlText w:val="%1."/>
      <w:lvlJc w:val="left"/>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B9D37E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qFormat="1" w:uiPriority="99" w:semiHidden="0" w:name="List Number"/>
    <w:lsdException w:qFormat="1" w:uiPriority="99" w:semiHidden="0" w:name="List 2"/>
    <w:lsdException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EastAsia" w:cstheme="minorBidi"/>
      <w:sz w:val="28"/>
      <w:szCs w:val="22"/>
      <w:lang w:val="en-US" w:eastAsia="en-US" w:bidi="ar-SA"/>
    </w:rPr>
  </w:style>
  <w:style w:type="paragraph" w:styleId="2">
    <w:name w:val="heading 1"/>
    <w:basedOn w:val="1"/>
    <w:next w:val="1"/>
    <w:link w:val="1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46"/>
    <w:unhideWhenUsed/>
    <w:uiPriority w:val="99"/>
    <w:pPr>
      <w:spacing w:after="120"/>
    </w:pPr>
  </w:style>
  <w:style w:type="paragraph" w:styleId="14">
    <w:name w:val="Body Text 2"/>
    <w:basedOn w:val="1"/>
    <w:link w:val="147"/>
    <w:unhideWhenUsed/>
    <w:qFormat/>
    <w:uiPriority w:val="99"/>
    <w:pPr>
      <w:spacing w:after="120" w:line="480" w:lineRule="auto"/>
    </w:pPr>
  </w:style>
  <w:style w:type="paragraph" w:styleId="15">
    <w:name w:val="Body Text 3"/>
    <w:basedOn w:val="1"/>
    <w:link w:val="148"/>
    <w:unhideWhenUsed/>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8"/>
    <w:unhideWhenUsed/>
    <w:uiPriority w:val="99"/>
    <w:pPr>
      <w:tabs>
        <w:tab w:val="center" w:pos="4680"/>
        <w:tab w:val="right" w:pos="9360"/>
      </w:tabs>
      <w:spacing w:after="0" w:line="240" w:lineRule="auto"/>
    </w:pPr>
  </w:style>
  <w:style w:type="paragraph" w:styleId="19">
    <w:name w:val="header"/>
    <w:basedOn w:val="1"/>
    <w:link w:val="137"/>
    <w:unhideWhenUsed/>
    <w:uiPriority w:val="99"/>
    <w:pPr>
      <w:tabs>
        <w:tab w:val="center" w:pos="4680"/>
        <w:tab w:val="right" w:pos="9360"/>
      </w:tabs>
      <w:spacing w:after="0" w:line="240" w:lineRule="auto"/>
    </w:pPr>
  </w:style>
  <w:style w:type="character" w:styleId="20">
    <w:name w:val="Hyperlink"/>
    <w:basedOn w:val="11"/>
    <w:semiHidden/>
    <w:unhideWhenUsed/>
    <w:uiPriority w:val="99"/>
    <w:rPr>
      <w:color w:val="0000FF"/>
      <w:u w:val="single"/>
    </w:rPr>
  </w:style>
  <w:style w:type="paragraph" w:styleId="21">
    <w:name w:val="List"/>
    <w:basedOn w:val="1"/>
    <w:unhideWhenUsed/>
    <w:uiPriority w:val="99"/>
    <w:pPr>
      <w:ind w:left="360" w:hanging="360"/>
      <w:contextualSpacing/>
    </w:pPr>
  </w:style>
  <w:style w:type="paragraph" w:styleId="22">
    <w:name w:val="List 2"/>
    <w:basedOn w:val="1"/>
    <w:unhideWhenUsed/>
    <w:qFormat/>
    <w:uiPriority w:val="99"/>
    <w:pPr>
      <w:ind w:left="720" w:hanging="360"/>
      <w:contextualSpacing/>
    </w:pPr>
  </w:style>
  <w:style w:type="paragraph" w:styleId="23">
    <w:name w:val="List 3"/>
    <w:basedOn w:val="1"/>
    <w:unhideWhenUsed/>
    <w:uiPriority w:val="99"/>
    <w:pPr>
      <w:ind w:left="1080" w:hanging="360"/>
      <w:contextualSpacing/>
    </w:pPr>
  </w:style>
  <w:style w:type="paragraph" w:styleId="24">
    <w:name w:val="List Bullet"/>
    <w:basedOn w:val="1"/>
    <w:unhideWhenUsed/>
    <w:uiPriority w:val="99"/>
    <w:pPr>
      <w:numPr>
        <w:ilvl w:val="0"/>
        <w:numId w:val="1"/>
      </w:numPr>
      <w:contextualSpacing/>
    </w:pPr>
  </w:style>
  <w:style w:type="paragraph" w:styleId="25">
    <w:name w:val="List Bullet 2"/>
    <w:basedOn w:val="1"/>
    <w:unhideWhenUsed/>
    <w:qFormat/>
    <w:uiPriority w:val="99"/>
    <w:pPr>
      <w:numPr>
        <w:ilvl w:val="0"/>
        <w:numId w:val="2"/>
      </w:numPr>
      <w:contextualSpacing/>
    </w:pPr>
  </w:style>
  <w:style w:type="paragraph" w:styleId="26">
    <w:name w:val="List Bullet 3"/>
    <w:basedOn w:val="1"/>
    <w:unhideWhenUsed/>
    <w:qFormat/>
    <w:uiPriority w:val="99"/>
    <w:pPr>
      <w:numPr>
        <w:ilvl w:val="0"/>
        <w:numId w:val="3"/>
      </w:numPr>
      <w:contextualSpacing/>
    </w:pPr>
  </w:style>
  <w:style w:type="paragraph" w:styleId="27">
    <w:name w:val="List Continue"/>
    <w:basedOn w:val="1"/>
    <w:unhideWhenUsed/>
    <w:uiPriority w:val="99"/>
    <w:pPr>
      <w:spacing w:after="120"/>
      <w:ind w:left="360"/>
      <w:contextualSpacing/>
    </w:pPr>
  </w:style>
  <w:style w:type="paragraph" w:styleId="28">
    <w:name w:val="List Continue 2"/>
    <w:basedOn w:val="1"/>
    <w:unhideWhenUsed/>
    <w:uiPriority w:val="99"/>
    <w:pPr>
      <w:spacing w:after="120"/>
      <w:ind w:left="720"/>
      <w:contextualSpacing/>
    </w:pPr>
  </w:style>
  <w:style w:type="paragraph" w:styleId="29">
    <w:name w:val="List Continue 3"/>
    <w:basedOn w:val="1"/>
    <w:unhideWhenUsed/>
    <w:qFormat/>
    <w:uiPriority w:val="99"/>
    <w:pPr>
      <w:spacing w:after="120"/>
      <w:ind w:left="1080"/>
      <w:contextualSpacing/>
    </w:pPr>
  </w:style>
  <w:style w:type="paragraph" w:styleId="30">
    <w:name w:val="List Number"/>
    <w:basedOn w:val="1"/>
    <w:unhideWhenUsed/>
    <w:qFormat/>
    <w:uiPriority w:val="99"/>
    <w:pPr>
      <w:numPr>
        <w:ilvl w:val="0"/>
        <w:numId w:val="4"/>
      </w:numPr>
      <w:contextualSpacing/>
    </w:pPr>
  </w:style>
  <w:style w:type="paragraph" w:styleId="31">
    <w:name w:val="List Number 2"/>
    <w:basedOn w:val="1"/>
    <w:unhideWhenUsed/>
    <w:uiPriority w:val="99"/>
    <w:pPr>
      <w:numPr>
        <w:ilvl w:val="0"/>
        <w:numId w:val="5"/>
      </w:numPr>
      <w:contextualSpacing/>
    </w:pPr>
  </w:style>
  <w:style w:type="paragraph" w:styleId="32">
    <w:name w:val="List Number 3"/>
    <w:basedOn w:val="1"/>
    <w:unhideWhenUsed/>
    <w:uiPriority w:val="99"/>
    <w:pPr>
      <w:numPr>
        <w:ilvl w:val="0"/>
        <w:numId w:val="6"/>
      </w:numPr>
      <w:contextualSpacing/>
    </w:pPr>
  </w:style>
  <w:style w:type="paragraph" w:styleId="33">
    <w:name w:val="macro"/>
    <w:link w:val="149"/>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34">
    <w:name w:val="Normal (Web)"/>
    <w:semiHidden/>
    <w:unhideWhenUsed/>
    <w:uiPriority w:val="99"/>
    <w:pPr>
      <w:spacing w:before="0" w:beforeAutospacing="1" w:after="0" w:afterAutospacing="1"/>
      <w:ind w:left="0" w:right="0"/>
      <w:jc w:val="left"/>
    </w:pPr>
    <w:rPr>
      <w:kern w:val="0"/>
      <w:sz w:val="24"/>
      <w:szCs w:val="24"/>
      <w:lang w:val="en-US" w:eastAsia="zh-CN" w:bidi="ar"/>
    </w:rPr>
  </w:style>
  <w:style w:type="character" w:styleId="35">
    <w:name w:val="Strong"/>
    <w:basedOn w:val="11"/>
    <w:qFormat/>
    <w:uiPriority w:val="22"/>
    <w:rPr>
      <w:b/>
      <w:bCs/>
    </w:rPr>
  </w:style>
  <w:style w:type="paragraph" w:styleId="36">
    <w:name w:val="Subtitle"/>
    <w:basedOn w:val="1"/>
    <w:next w:val="1"/>
    <w:link w:val="1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7">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8">
    <w:name w:val="Title"/>
    <w:basedOn w:val="1"/>
    <w:next w:val="1"/>
    <w:link w:val="1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9">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40">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1">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2">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3">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4">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5">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6">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7">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8">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9">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50">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1">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2">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3">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4">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5">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6">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7">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8">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9">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60">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1">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2">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3">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4">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5">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6">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7">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1"/>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3"/>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5"/>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4">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5">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6">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7">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8">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9">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80">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1">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8">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9">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90">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1">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2">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3">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4">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5">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6">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7">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8">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9">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00">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1">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2">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3">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4">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5">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6">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7">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8">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9">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0">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1">
    <w:name w:val="Dark List Accent 2"/>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2">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3">
    <w:name w:val="Dark List Accent 4"/>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4">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5">
    <w:name w:val="Dark List Accent 6"/>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6">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0">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3">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4">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5">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6">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7">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8">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9">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30">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1">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2">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3">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4">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5">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6">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7">
    <w:name w:val="Header Char"/>
    <w:basedOn w:val="11"/>
    <w:link w:val="19"/>
    <w:uiPriority w:val="99"/>
  </w:style>
  <w:style w:type="character" w:customStyle="1" w:styleId="138">
    <w:name w:val="Footer Char"/>
    <w:basedOn w:val="11"/>
    <w:link w:val="18"/>
    <w:qFormat/>
    <w:uiPriority w:val="99"/>
  </w:style>
  <w:style w:type="paragraph" w:styleId="1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0">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41">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2">
    <w:name w:val="Heading 3 Ch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3">
    <w:name w:val="Title Char"/>
    <w:basedOn w:val="11"/>
    <w:link w:val="38"/>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4">
    <w:name w:val="Subtitle Char"/>
    <w:basedOn w:val="11"/>
    <w:link w:val="3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5">
    <w:name w:val="List Paragraph"/>
    <w:basedOn w:val="1"/>
    <w:qFormat/>
    <w:uiPriority w:val="34"/>
    <w:pPr>
      <w:ind w:left="720"/>
      <w:contextualSpacing/>
    </w:pPr>
  </w:style>
  <w:style w:type="character" w:customStyle="1" w:styleId="146">
    <w:name w:val="Body Text Char"/>
    <w:basedOn w:val="11"/>
    <w:link w:val="13"/>
    <w:uiPriority w:val="99"/>
  </w:style>
  <w:style w:type="character" w:customStyle="1" w:styleId="147">
    <w:name w:val="Body Text 2 Char"/>
    <w:basedOn w:val="11"/>
    <w:link w:val="14"/>
    <w:uiPriority w:val="99"/>
  </w:style>
  <w:style w:type="character" w:customStyle="1" w:styleId="148">
    <w:name w:val="Body Text 3 Char"/>
    <w:basedOn w:val="11"/>
    <w:link w:val="15"/>
    <w:qFormat/>
    <w:uiPriority w:val="99"/>
    <w:rPr>
      <w:sz w:val="16"/>
      <w:szCs w:val="16"/>
    </w:rPr>
  </w:style>
  <w:style w:type="character" w:customStyle="1" w:styleId="149">
    <w:name w:val="Macro Text Char"/>
    <w:basedOn w:val="11"/>
    <w:link w:val="33"/>
    <w:uiPriority w:val="99"/>
    <w:rPr>
      <w:rFonts w:ascii="Courier" w:hAnsi="Courier"/>
      <w:sz w:val="20"/>
      <w:szCs w:val="20"/>
    </w:rPr>
  </w:style>
  <w:style w:type="paragraph" w:styleId="150">
    <w:name w:val="Quote"/>
    <w:basedOn w:val="1"/>
    <w:next w:val="1"/>
    <w:link w:val="151"/>
    <w:qFormat/>
    <w:uiPriority w:val="29"/>
    <w:rPr>
      <w:i/>
      <w:iCs/>
      <w:color w:val="000000" w:themeColor="text1"/>
      <w14:textFill>
        <w14:solidFill>
          <w14:schemeClr w14:val="tx1"/>
        </w14:solidFill>
      </w14:textFill>
    </w:rPr>
  </w:style>
  <w:style w:type="character" w:customStyle="1" w:styleId="151">
    <w:name w:val="Quote Char"/>
    <w:basedOn w:val="11"/>
    <w:link w:val="150"/>
    <w:uiPriority w:val="29"/>
    <w:rPr>
      <w:i/>
      <w:iCs/>
      <w:color w:val="000000" w:themeColor="text1"/>
      <w14:textFill>
        <w14:solidFill>
          <w14:schemeClr w14:val="tx1"/>
        </w14:solidFill>
      </w14:textFill>
    </w:rPr>
  </w:style>
  <w:style w:type="character" w:customStyle="1" w:styleId="152">
    <w:name w:val="Heading 4 Char"/>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3">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154">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5">
    <w:name w:val="Heading 7 Ch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6">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7">
    <w:name w:val="Heading 9 Char"/>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8">
    <w:name w:val="Intense Quote"/>
    <w:basedOn w:val="1"/>
    <w:next w:val="1"/>
    <w:link w:val="1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9">
    <w:name w:val="Intense Quote Char"/>
    <w:basedOn w:val="11"/>
    <w:link w:val="158"/>
    <w:uiPriority w:val="30"/>
    <w:rPr>
      <w:b/>
      <w:bCs/>
      <w:i/>
      <w:iCs/>
      <w:color w:val="4F81BD" w:themeColor="accent1"/>
      <w14:textFill>
        <w14:solidFill>
          <w14:schemeClr w14:val="accent1"/>
        </w14:solidFill>
      </w14:textFill>
    </w:rPr>
  </w:style>
  <w:style w:type="character" w:customStyle="1" w:styleId="1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61">
    <w:name w:val="Intense Emphasis"/>
    <w:basedOn w:val="11"/>
    <w:qFormat/>
    <w:uiPriority w:val="21"/>
    <w:rPr>
      <w:b/>
      <w:bCs/>
      <w:i/>
      <w:iCs/>
      <w:color w:val="4F81BD" w:themeColor="accent1"/>
      <w14:textFill>
        <w14:solidFill>
          <w14:schemeClr w14:val="accent1"/>
        </w14:solidFill>
      </w14:textFill>
    </w:rPr>
  </w:style>
  <w:style w:type="character" w:customStyle="1" w:styleId="162">
    <w:name w:val="Subtle Reference"/>
    <w:basedOn w:val="11"/>
    <w:qFormat/>
    <w:uiPriority w:val="31"/>
    <w:rPr>
      <w:smallCaps/>
      <w:color w:val="C0504D" w:themeColor="accent2"/>
      <w:u w:val="single"/>
      <w14:textFill>
        <w14:solidFill>
          <w14:schemeClr w14:val="accent2"/>
        </w14:solidFill>
      </w14:textFill>
    </w:rPr>
  </w:style>
  <w:style w:type="character" w:customStyle="1" w:styleId="1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4">
    <w:name w:val="Book Title"/>
    <w:basedOn w:val="11"/>
    <w:qFormat/>
    <w:uiPriority w:val="33"/>
    <w:rPr>
      <w:b/>
      <w:bCs/>
      <w:smallCaps/>
      <w:spacing w:val="5"/>
    </w:rPr>
  </w:style>
  <w:style w:type="paragraph" w:customStyle="1" w:styleId="165">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18</TotalTime>
  <ScaleCrop>false</ScaleCrop>
  <LinksUpToDate>false</LinksUpToDate>
  <CharactersWithSpaces>0</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Asus</cp:lastModifiedBy>
  <dcterms:modified xsi:type="dcterms:W3CDTF">2025-06-30T08:42:37Z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F8E965B7A9C4461FAB1716A0D941D7AA_13</vt:lpwstr>
  </property>
</Properties>
</file>