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A53" w:rsidRDefault="00435A53" w:rsidP="00435A53">
      <w:pPr>
        <w:pStyle w:val="a3"/>
        <w:spacing w:before="0" w:beforeAutospacing="0" w:after="0" w:afterAutospacing="0" w:line="360" w:lineRule="auto"/>
        <w:jc w:val="center"/>
        <w:rPr>
          <w:b/>
          <w:bCs/>
          <w:color w:val="000000"/>
          <w:sz w:val="28"/>
          <w:szCs w:val="28"/>
        </w:rPr>
      </w:pPr>
    </w:p>
    <w:p w:rsidR="00435A53" w:rsidRDefault="00435A53" w:rsidP="00435A53">
      <w:pPr>
        <w:pStyle w:val="a3"/>
        <w:spacing w:before="0" w:beforeAutospacing="0" w:after="0" w:afterAutospacing="0" w:line="360" w:lineRule="auto"/>
        <w:jc w:val="center"/>
        <w:rPr>
          <w:b/>
          <w:bCs/>
          <w:color w:val="000000"/>
          <w:sz w:val="28"/>
          <w:szCs w:val="28"/>
        </w:rPr>
      </w:pPr>
      <w:r>
        <w:rPr>
          <w:b/>
          <w:bCs/>
          <w:color w:val="000000"/>
          <w:sz w:val="28"/>
          <w:szCs w:val="28"/>
        </w:rPr>
        <w:t xml:space="preserve">Стаття </w:t>
      </w:r>
    </w:p>
    <w:p w:rsidR="00435A53" w:rsidRDefault="00435A53" w:rsidP="00435A53">
      <w:pPr>
        <w:pStyle w:val="a3"/>
        <w:spacing w:before="0" w:beforeAutospacing="0" w:after="0" w:afterAutospacing="0" w:line="360" w:lineRule="auto"/>
        <w:jc w:val="both"/>
        <w:rPr>
          <w:b/>
          <w:bCs/>
          <w:color w:val="000000"/>
          <w:sz w:val="28"/>
          <w:szCs w:val="28"/>
        </w:rPr>
      </w:pPr>
    </w:p>
    <w:p w:rsidR="00435A53" w:rsidRDefault="00435A53" w:rsidP="00435A53">
      <w:pPr>
        <w:pStyle w:val="a3"/>
        <w:spacing w:before="0" w:beforeAutospacing="0" w:after="0" w:afterAutospacing="0" w:line="360" w:lineRule="auto"/>
        <w:jc w:val="both"/>
        <w:rPr>
          <w:color w:val="000000"/>
          <w:sz w:val="28"/>
          <w:szCs w:val="28"/>
        </w:rPr>
      </w:pPr>
      <w:r>
        <w:rPr>
          <w:b/>
          <w:bCs/>
          <w:color w:val="000000"/>
          <w:sz w:val="28"/>
          <w:szCs w:val="28"/>
        </w:rPr>
        <w:t>Психолого-педагогічні особливості формування діалогічного мовлення</w:t>
      </w:r>
    </w:p>
    <w:p w:rsidR="00435A53" w:rsidRDefault="00435A53" w:rsidP="00435A53">
      <w:pPr>
        <w:pStyle w:val="a3"/>
        <w:spacing w:before="0" w:beforeAutospacing="0" w:after="0" w:afterAutospacing="0" w:line="360" w:lineRule="auto"/>
        <w:jc w:val="both"/>
        <w:rPr>
          <w:color w:val="000000"/>
          <w:sz w:val="28"/>
          <w:szCs w:val="28"/>
        </w:rPr>
      </w:pP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Діалогічне мовленнєве спілкування психологи розглядають як особливий вид мовленнєвої діяльності [</w:t>
      </w:r>
      <w:r w:rsidR="00A131A9">
        <w:rPr>
          <w:color w:val="000000"/>
          <w:sz w:val="28"/>
          <w:szCs w:val="28"/>
        </w:rPr>
        <w:t>3</w:t>
      </w:r>
      <w:r>
        <w:rPr>
          <w:color w:val="000000"/>
          <w:sz w:val="28"/>
          <w:szCs w:val="28"/>
        </w:rPr>
        <w:t>].</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Для дослідження психологічних передумов формування мовленнєвих умінь і навичок у діалозі потребують свого висвітлення такі питання, як: 1) мовлення як діяльність, 2) мовлення та мислення, 3) мовлення й мотиви, 4) мовлення та емоції.</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Важливе значення для методики української мови при вивченні </w:t>
      </w:r>
      <w:proofErr w:type="spellStart"/>
      <w:r>
        <w:rPr>
          <w:color w:val="000000"/>
          <w:sz w:val="28"/>
          <w:szCs w:val="28"/>
        </w:rPr>
        <w:t>діалогування</w:t>
      </w:r>
      <w:proofErr w:type="spellEnd"/>
      <w:r>
        <w:rPr>
          <w:color w:val="000000"/>
          <w:sz w:val="28"/>
          <w:szCs w:val="28"/>
        </w:rPr>
        <w:t xml:space="preserve"> має поділ мовленнєвих вчинків на чотири комунікативних типи: розповідь, питання, спонукання, </w:t>
      </w:r>
      <w:proofErr w:type="spellStart"/>
      <w:r>
        <w:rPr>
          <w:color w:val="000000"/>
          <w:sz w:val="28"/>
          <w:szCs w:val="28"/>
        </w:rPr>
        <w:t>окличність</w:t>
      </w:r>
      <w:proofErr w:type="spellEnd"/>
      <w:r>
        <w:rPr>
          <w:color w:val="000000"/>
          <w:sz w:val="28"/>
          <w:szCs w:val="28"/>
        </w:rPr>
        <w:t>. Під «</w:t>
      </w:r>
      <w:proofErr w:type="spellStart"/>
      <w:r>
        <w:rPr>
          <w:color w:val="000000"/>
          <w:sz w:val="28"/>
          <w:szCs w:val="28"/>
        </w:rPr>
        <w:t>окличністю</w:t>
      </w:r>
      <w:proofErr w:type="spellEnd"/>
      <w:r>
        <w:rPr>
          <w:color w:val="000000"/>
          <w:sz w:val="28"/>
          <w:szCs w:val="28"/>
        </w:rPr>
        <w:t>», очевидно, потрібно розуміти «чисті» (</w:t>
      </w:r>
      <w:proofErr w:type="spellStart"/>
      <w:r>
        <w:rPr>
          <w:color w:val="000000"/>
          <w:sz w:val="28"/>
          <w:szCs w:val="28"/>
        </w:rPr>
        <w:t>безінформативні</w:t>
      </w:r>
      <w:proofErr w:type="spellEnd"/>
      <w:r>
        <w:rPr>
          <w:color w:val="000000"/>
          <w:sz w:val="28"/>
          <w:szCs w:val="28"/>
        </w:rPr>
        <w:t xml:space="preserve">) вираження почуття-типу </w:t>
      </w:r>
      <w:r>
        <w:rPr>
          <w:i/>
          <w:color w:val="000000"/>
          <w:sz w:val="28"/>
          <w:szCs w:val="28"/>
        </w:rPr>
        <w:t xml:space="preserve">«Ну, що ж!», «От біда!» </w:t>
      </w:r>
      <w:r>
        <w:rPr>
          <w:color w:val="000000"/>
          <w:sz w:val="28"/>
          <w:szCs w:val="28"/>
        </w:rPr>
        <w:t>тощо. Тоді як в інших випадках «</w:t>
      </w:r>
      <w:proofErr w:type="spellStart"/>
      <w:r>
        <w:rPr>
          <w:color w:val="000000"/>
          <w:sz w:val="28"/>
          <w:szCs w:val="28"/>
        </w:rPr>
        <w:t>окличність</w:t>
      </w:r>
      <w:proofErr w:type="spellEnd"/>
      <w:r>
        <w:rPr>
          <w:color w:val="000000"/>
          <w:sz w:val="28"/>
          <w:szCs w:val="28"/>
        </w:rPr>
        <w:t>» треба розуміти як окличні речення.</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Мовлення школяра у процесі мовленнєвої комунікації взагалі та при виконанні комунікативно-мовленнєвих вправ зокрема проходить усі ці чотири етапи. За цих умов формуються комунікативно-мовленнєві уміння, які передбачають виникнення мовленнєвої діяльності, цілеспрямованої і «програмованої» стосовно до вибору </w:t>
      </w:r>
      <w:proofErr w:type="spellStart"/>
      <w:r>
        <w:rPr>
          <w:color w:val="000000"/>
          <w:sz w:val="28"/>
          <w:szCs w:val="28"/>
        </w:rPr>
        <w:t>мовної</w:t>
      </w:r>
      <w:proofErr w:type="spellEnd"/>
      <w:r>
        <w:rPr>
          <w:color w:val="000000"/>
          <w:sz w:val="28"/>
          <w:szCs w:val="28"/>
        </w:rPr>
        <w:t xml:space="preserve"> форми. </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Психологія розглядає мовлення передусім як засіб спілкування: «мовлення є засобом мислення і поведінки людини» [</w:t>
      </w:r>
      <w:r w:rsidR="00A131A9">
        <w:rPr>
          <w:color w:val="000000"/>
          <w:sz w:val="28"/>
          <w:szCs w:val="28"/>
        </w:rPr>
        <w:t>5</w:t>
      </w:r>
      <w:r>
        <w:rPr>
          <w:color w:val="000000"/>
          <w:sz w:val="28"/>
          <w:szCs w:val="28"/>
        </w:rPr>
        <w:t xml:space="preserve">]. Однією з найважчих теоретичних і експериментальних проблем сучасної психології та фізіології вищої нервової діяльності є вивчення механізмів мислення людини. Певні теоретичні труднощі розгляду цієї проблеми починаються уже з недостатнього психологічного визначення вихідного терміну «мислення», який містить у собі досить різноманітні за своїм механізмом форми і процеси пізнавальної діяльності людини. Маємо мислення у формі дій, мислення у формі сприймання, мислення </w:t>
      </w:r>
      <w:r>
        <w:rPr>
          <w:color w:val="000000"/>
          <w:sz w:val="28"/>
          <w:szCs w:val="28"/>
        </w:rPr>
        <w:lastRenderedPageBreak/>
        <w:t>у формі згадування і, нарешті, різні операції формальної і математичної логіки (порівняння, класифікація, абстрагування, узагальнення тощо)</w:t>
      </w:r>
      <w:r w:rsidR="00A131A9">
        <w:rPr>
          <w:color w:val="000000"/>
          <w:sz w:val="28"/>
          <w:szCs w:val="28"/>
        </w:rPr>
        <w:t xml:space="preserve">. </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У сучасній психологічній науці відомі два основні розуміння мислення: 1) як «утворення </w:t>
      </w:r>
      <w:proofErr w:type="spellStart"/>
      <w:r>
        <w:rPr>
          <w:color w:val="000000"/>
          <w:sz w:val="28"/>
          <w:szCs w:val="28"/>
        </w:rPr>
        <w:t>зв'язків</w:t>
      </w:r>
      <w:proofErr w:type="spellEnd"/>
      <w:r>
        <w:rPr>
          <w:color w:val="000000"/>
          <w:sz w:val="28"/>
          <w:szCs w:val="28"/>
        </w:rPr>
        <w:t xml:space="preserve"> і відносин» і 2) як «розв'язання завдань». Мислення як утворення </w:t>
      </w:r>
      <w:proofErr w:type="spellStart"/>
      <w:r>
        <w:rPr>
          <w:color w:val="000000"/>
          <w:sz w:val="28"/>
          <w:szCs w:val="28"/>
        </w:rPr>
        <w:t>зв'язків</w:t>
      </w:r>
      <w:proofErr w:type="spellEnd"/>
      <w:r>
        <w:rPr>
          <w:color w:val="000000"/>
          <w:sz w:val="28"/>
          <w:szCs w:val="28"/>
        </w:rPr>
        <w:t xml:space="preserve"> і відносин найбільш послідовно розроблене в асоціативній психології, що розглядала мислення як поступове узагальнення асоціативних </w:t>
      </w:r>
      <w:proofErr w:type="spellStart"/>
      <w:r>
        <w:rPr>
          <w:color w:val="000000"/>
          <w:sz w:val="28"/>
          <w:szCs w:val="28"/>
        </w:rPr>
        <w:t>зв'язків</w:t>
      </w:r>
      <w:proofErr w:type="spellEnd"/>
      <w:r>
        <w:rPr>
          <w:color w:val="000000"/>
          <w:sz w:val="28"/>
          <w:szCs w:val="28"/>
        </w:rPr>
        <w:t xml:space="preserve"> і відносин, яке зароджувалося у сприйманні, відображалося в пам'яті і приводило до відокремлення ознак і створення абстрактних понять</w:t>
      </w:r>
      <w:r w:rsidR="00A131A9">
        <w:rPr>
          <w:color w:val="000000"/>
          <w:sz w:val="28"/>
          <w:szCs w:val="28"/>
        </w:rPr>
        <w:t>.</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Охарактеризуємо діалогічне мовлення з психологічної точки зору. Як і будь-який інший вид мовленнєвої діяльності, діалогічне мовлення завжди вмотивоване. Проте в умовах навчання мотив сам по собі виникає далеко не завжди. Отже необхідно створити умови, в яких у школярів з'явилося б бажання та потреба щось сказати, передати почуття</w:t>
      </w:r>
      <w:r w:rsidR="00A448DB">
        <w:rPr>
          <w:color w:val="000000"/>
          <w:sz w:val="28"/>
          <w:szCs w:val="28"/>
        </w:rPr>
        <w:t>.</w:t>
      </w:r>
      <w:r>
        <w:rPr>
          <w:color w:val="000000"/>
          <w:sz w:val="28"/>
          <w:szCs w:val="28"/>
        </w:rPr>
        <w:t xml:space="preserve"> Крім того, сприятливий психологічний клімат на </w:t>
      </w:r>
      <w:proofErr w:type="spellStart"/>
      <w:r>
        <w:rPr>
          <w:color w:val="000000"/>
          <w:sz w:val="28"/>
          <w:szCs w:val="28"/>
        </w:rPr>
        <w:t>уроці</w:t>
      </w:r>
      <w:proofErr w:type="spellEnd"/>
      <w:r>
        <w:rPr>
          <w:color w:val="000000"/>
          <w:sz w:val="28"/>
          <w:szCs w:val="28"/>
        </w:rPr>
        <w:t>, доброзичливі стосунки, зацікавленість в роботі також сприятимуть вмотивованості діалогічного мовлення.</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Однією з найважливіших психологічних особливостей діалогічного мовлення є його </w:t>
      </w:r>
      <w:proofErr w:type="spellStart"/>
      <w:r>
        <w:rPr>
          <w:color w:val="000000"/>
          <w:sz w:val="28"/>
          <w:szCs w:val="28"/>
        </w:rPr>
        <w:t>ситуативність</w:t>
      </w:r>
      <w:proofErr w:type="spellEnd"/>
      <w:r>
        <w:rPr>
          <w:color w:val="000000"/>
          <w:sz w:val="28"/>
          <w:szCs w:val="28"/>
        </w:rPr>
        <w:t xml:space="preserve">. Ситуативним діалогічне мовлення є тому, що часто його зміст можна зрозуміти лише з урахуванням тієї ситуації, в якій воно здійснюється. Іншими словами, існує чітка співвіднесеність діалогічного мовлення з ситуацією, що, однак, не можна розуміти буквально. Слід зазначити, що у процесі навчання нас цікавлять не будь-які ситуації дійсності, а лише такі, що спонукають до мовлення. Такі ситуації і називають мовленнєвими або комунікативними. Вони завжди містять у собі стимул до мовлення. Уявімо, що у вас спрага </w:t>
      </w:r>
      <w:r w:rsidR="00A131A9">
        <w:rPr>
          <w:color w:val="000000"/>
          <w:sz w:val="28"/>
          <w:szCs w:val="28"/>
        </w:rPr>
        <w:t>.</w:t>
      </w:r>
      <w:r>
        <w:rPr>
          <w:color w:val="000000"/>
          <w:sz w:val="28"/>
          <w:szCs w:val="28"/>
        </w:rPr>
        <w:t xml:space="preserve"> Якщо ви прийшли додому, то звичайно підете на кухню й вип'єте води (соку, чаю тощо). Але коли ви прийшли в гості, то потреба випити води стане стимулом до мовлення, в даному разі - прохання до господині/господаря дому: </w:t>
      </w:r>
      <w:r>
        <w:rPr>
          <w:i/>
          <w:color w:val="000000"/>
          <w:sz w:val="28"/>
          <w:szCs w:val="28"/>
        </w:rPr>
        <w:t>«Чи не дасте мені склянку води? У мене страшна спрага»</w:t>
      </w:r>
      <w:r>
        <w:rPr>
          <w:color w:val="000000"/>
          <w:sz w:val="28"/>
          <w:szCs w:val="28"/>
        </w:rPr>
        <w:t>. Реакція співрозмовника буде як вербальною (</w:t>
      </w:r>
      <w:r>
        <w:rPr>
          <w:i/>
          <w:color w:val="000000"/>
          <w:sz w:val="28"/>
          <w:szCs w:val="28"/>
        </w:rPr>
        <w:t>«Будь ласка», «З задоволенням» тощо</w:t>
      </w:r>
      <w:r>
        <w:rPr>
          <w:color w:val="000000"/>
          <w:sz w:val="28"/>
          <w:szCs w:val="28"/>
        </w:rPr>
        <w:t xml:space="preserve">), так і невербальною: він / вона </w:t>
      </w:r>
      <w:proofErr w:type="spellStart"/>
      <w:r>
        <w:rPr>
          <w:color w:val="000000"/>
          <w:sz w:val="28"/>
          <w:szCs w:val="28"/>
        </w:rPr>
        <w:t>н</w:t>
      </w:r>
      <w:r>
        <w:rPr>
          <w:color w:val="000000"/>
          <w:sz w:val="28"/>
          <w:szCs w:val="28"/>
          <w:u w:val="single"/>
        </w:rPr>
        <w:t>а</w:t>
      </w:r>
      <w:r>
        <w:rPr>
          <w:color w:val="000000"/>
          <w:sz w:val="28"/>
          <w:szCs w:val="28"/>
        </w:rPr>
        <w:t>ллє</w:t>
      </w:r>
      <w:proofErr w:type="spellEnd"/>
      <w:r>
        <w:rPr>
          <w:color w:val="000000"/>
          <w:sz w:val="28"/>
          <w:szCs w:val="28"/>
        </w:rPr>
        <w:t xml:space="preserve"> вам склянку води або пригостить чашкою чаю. З вашого боку буде висловлена вдячність.</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lastRenderedPageBreak/>
        <w:t xml:space="preserve">У реальному процесі спілкування комунікативні ситуації виникають, як правило, самі собою. Це так звані природні ситуації. Автори підручників і вчителі спеціально створюють комунікативні ситуації, моделюючи природні комунікативні ситуації. Спеціально створені (або штучні) комунікативні ситуації потребують певної деталізації зовнішніх обставин та умов, в яких має місце діалогічне спілкування, наявності вербального стимулу, визначення ролей, в яких </w:t>
      </w:r>
      <w:proofErr w:type="spellStart"/>
      <w:r>
        <w:rPr>
          <w:color w:val="000000"/>
          <w:sz w:val="28"/>
          <w:szCs w:val="28"/>
        </w:rPr>
        <w:t>комуніканти</w:t>
      </w:r>
      <w:proofErr w:type="spellEnd"/>
      <w:r>
        <w:rPr>
          <w:color w:val="000000"/>
          <w:sz w:val="28"/>
          <w:szCs w:val="28"/>
        </w:rPr>
        <w:t xml:space="preserve"> виступатимуть, стосунків між ними тощо</w:t>
      </w:r>
      <w:r w:rsidR="00A131A9">
        <w:rPr>
          <w:color w:val="000000"/>
          <w:sz w:val="28"/>
          <w:szCs w:val="28"/>
        </w:rPr>
        <w:t>.</w:t>
      </w:r>
    </w:p>
    <w:p w:rsidR="00435A53" w:rsidRPr="00900201" w:rsidRDefault="00435A53" w:rsidP="00435A53">
      <w:pPr>
        <w:pStyle w:val="a3"/>
        <w:spacing w:before="0" w:beforeAutospacing="0" w:after="0" w:afterAutospacing="0" w:line="360" w:lineRule="auto"/>
        <w:ind w:firstLine="708"/>
        <w:jc w:val="both"/>
        <w:rPr>
          <w:color w:val="000000"/>
          <w:sz w:val="26"/>
          <w:szCs w:val="28"/>
        </w:rPr>
      </w:pPr>
      <w:r>
        <w:rPr>
          <w:color w:val="000000"/>
          <w:sz w:val="28"/>
          <w:szCs w:val="28"/>
        </w:rPr>
        <w:t xml:space="preserve">Г. </w:t>
      </w:r>
      <w:proofErr w:type="spellStart"/>
      <w:r>
        <w:rPr>
          <w:color w:val="000000"/>
          <w:sz w:val="28"/>
          <w:szCs w:val="28"/>
        </w:rPr>
        <w:t>Балл</w:t>
      </w:r>
      <w:proofErr w:type="spellEnd"/>
      <w:r>
        <w:rPr>
          <w:color w:val="000000"/>
          <w:sz w:val="28"/>
          <w:szCs w:val="28"/>
        </w:rPr>
        <w:t xml:space="preserve"> та М. </w:t>
      </w:r>
      <w:proofErr w:type="spellStart"/>
      <w:r>
        <w:rPr>
          <w:color w:val="000000"/>
          <w:sz w:val="28"/>
          <w:szCs w:val="28"/>
        </w:rPr>
        <w:t>Бургін</w:t>
      </w:r>
      <w:proofErr w:type="spellEnd"/>
      <w:r>
        <w:rPr>
          <w:color w:val="000000"/>
          <w:sz w:val="28"/>
          <w:szCs w:val="28"/>
        </w:rPr>
        <w:t xml:space="preserve"> показали, що принциповою особливістю монологічного впливу є ставлення до іншої людини як до засобу для досягнення цілей, які визначив суб'єкт упливу. У процесі діалогічної взаємодії партнери по спілкуванню знаходяться на рівних позиціях, вони допомагають один одному. Діалог є психологічною умовою реалізації такої стратегії впливу</w:t>
      </w:r>
      <w:r w:rsidR="00BE1BF2">
        <w:rPr>
          <w:color w:val="000000"/>
          <w:sz w:val="28"/>
          <w:szCs w:val="28"/>
        </w:rPr>
        <w:t>,</w:t>
      </w:r>
      <w:r>
        <w:rPr>
          <w:color w:val="000000"/>
          <w:sz w:val="28"/>
          <w:szCs w:val="28"/>
        </w:rPr>
        <w:t xml:space="preserve"> </w:t>
      </w:r>
      <w:r w:rsidR="00BE1BF2">
        <w:rPr>
          <w:color w:val="000000"/>
          <w:sz w:val="28"/>
          <w:szCs w:val="28"/>
        </w:rPr>
        <w:t>яка передбачає</w:t>
      </w:r>
      <w:r>
        <w:rPr>
          <w:color w:val="000000"/>
          <w:sz w:val="28"/>
          <w:szCs w:val="28"/>
        </w:rPr>
        <w:t xml:space="preserve"> особистісн</w:t>
      </w:r>
      <w:r w:rsidR="00BE1BF2">
        <w:rPr>
          <w:color w:val="000000"/>
          <w:sz w:val="28"/>
          <w:szCs w:val="28"/>
        </w:rPr>
        <w:t>у</w:t>
      </w:r>
      <w:r>
        <w:rPr>
          <w:color w:val="000000"/>
          <w:sz w:val="28"/>
          <w:szCs w:val="28"/>
        </w:rPr>
        <w:t xml:space="preserve"> </w:t>
      </w:r>
      <w:proofErr w:type="spellStart"/>
      <w:r>
        <w:rPr>
          <w:color w:val="000000"/>
          <w:sz w:val="28"/>
          <w:szCs w:val="28"/>
        </w:rPr>
        <w:t>розкритість</w:t>
      </w:r>
      <w:proofErr w:type="spellEnd"/>
      <w:r>
        <w:rPr>
          <w:color w:val="000000"/>
          <w:sz w:val="28"/>
          <w:szCs w:val="28"/>
        </w:rPr>
        <w:t xml:space="preserve"> партнерів по спілкуванню; психологічне орієнтування на актуальні стани один одного; довірливість та відкритість виразу почуттів та станів</w:t>
      </w:r>
      <w:r w:rsidR="00BE1BF2">
        <w:rPr>
          <w:color w:val="000000"/>
          <w:sz w:val="28"/>
          <w:szCs w:val="28"/>
        </w:rPr>
        <w:t>.</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Саме ідея «розвиваючої стратегії» за своєю суттю дуже близька до поглядів психологів-гуманістів, зокрема Карла Роджерса. Згідно з Роджерсом [</w:t>
      </w:r>
      <w:r w:rsidR="00900201" w:rsidRPr="00BE1BF2">
        <w:rPr>
          <w:color w:val="000000"/>
          <w:sz w:val="28"/>
          <w:szCs w:val="28"/>
        </w:rPr>
        <w:t>5</w:t>
      </w:r>
      <w:r>
        <w:rPr>
          <w:color w:val="000000"/>
          <w:sz w:val="28"/>
          <w:szCs w:val="28"/>
        </w:rPr>
        <w:t>]; для досягнення успіху в навчальній діяльності педагог повинен створити психологічні умови, які дозволяють учням розвиватися вільно, тобто він повинен бути не «вчителем», а «</w:t>
      </w:r>
      <w:proofErr w:type="spellStart"/>
      <w:r>
        <w:rPr>
          <w:color w:val="000000"/>
          <w:sz w:val="28"/>
          <w:szCs w:val="28"/>
        </w:rPr>
        <w:t>фасилітатором</w:t>
      </w:r>
      <w:proofErr w:type="spellEnd"/>
      <w:r>
        <w:rPr>
          <w:color w:val="000000"/>
          <w:sz w:val="28"/>
          <w:szCs w:val="28"/>
        </w:rPr>
        <w:t xml:space="preserve">» розвитку. Так, діалогічний підхід, зазначає Г. </w:t>
      </w:r>
      <w:proofErr w:type="spellStart"/>
      <w:r>
        <w:rPr>
          <w:color w:val="000000"/>
          <w:sz w:val="28"/>
          <w:szCs w:val="28"/>
        </w:rPr>
        <w:t>Балл</w:t>
      </w:r>
      <w:proofErr w:type="spellEnd"/>
      <w:r>
        <w:rPr>
          <w:color w:val="000000"/>
          <w:sz w:val="28"/>
          <w:szCs w:val="28"/>
        </w:rPr>
        <w:t xml:space="preserve"> [2], надає учневі право мати власну точку зору, власну позицію, до якої вчитель ставиться з повагою. За таких умов організації навчальної діяльності учень може вільніше розвиватися як особистість.</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Монологічна та діалогічна стратегії психології впливу мають світоглядну значимість та корелюють з гносеологічними та соціальними ідеями. Г.О. </w:t>
      </w:r>
      <w:proofErr w:type="spellStart"/>
      <w:r>
        <w:rPr>
          <w:color w:val="000000"/>
          <w:sz w:val="28"/>
          <w:szCs w:val="28"/>
        </w:rPr>
        <w:t>Балл</w:t>
      </w:r>
      <w:proofErr w:type="spellEnd"/>
      <w:r>
        <w:rPr>
          <w:color w:val="000000"/>
          <w:sz w:val="28"/>
          <w:szCs w:val="28"/>
        </w:rPr>
        <w:t xml:space="preserve"> та </w:t>
      </w:r>
      <w:proofErr w:type="spellStart"/>
      <w:r>
        <w:rPr>
          <w:color w:val="000000"/>
          <w:sz w:val="28"/>
          <w:szCs w:val="28"/>
        </w:rPr>
        <w:t>А.Г.Волинець</w:t>
      </w:r>
      <w:proofErr w:type="spellEnd"/>
      <w:r>
        <w:rPr>
          <w:color w:val="000000"/>
          <w:sz w:val="28"/>
          <w:szCs w:val="28"/>
        </w:rPr>
        <w:t xml:space="preserve"> зазначають, що в цих стратегіях знаходять свій вияв певні ідеї тлумачення істини, а саме: 1) авторитарна (в тому числі тоталітарна) ідея; 2) ліберальна ідея; 3) гуманістична ідея [2]. Керуючись першим підходом, суб'єкт вважає тільки своє розуміння ідеї, предмета, дії і </w:t>
      </w:r>
      <w:proofErr w:type="spellStart"/>
      <w:r>
        <w:rPr>
          <w:color w:val="000000"/>
          <w:sz w:val="28"/>
          <w:szCs w:val="28"/>
        </w:rPr>
        <w:t>т.д</w:t>
      </w:r>
      <w:proofErr w:type="spellEnd"/>
      <w:r>
        <w:rPr>
          <w:color w:val="000000"/>
          <w:sz w:val="28"/>
          <w:szCs w:val="28"/>
        </w:rPr>
        <w:t xml:space="preserve">. правильним, а думки інших людей – хибними. Другий підхід дає право кожному суб'єкту розуміти істину зі своєї власної позиції, враховуючи індивідуальні погляди та думки. Розуміння </w:t>
      </w:r>
      <w:r>
        <w:rPr>
          <w:color w:val="000000"/>
          <w:sz w:val="28"/>
          <w:szCs w:val="28"/>
        </w:rPr>
        <w:lastRenderedPageBreak/>
        <w:t xml:space="preserve">істини як діалогу пов'язане з гуманістичною ідеєю, і основною є діалогічна стратегія впливів, що передбачає принципову рівноправність та взаємозалежність суб'єктів. Це означає, передусім, орієнтацію на культуру і діалог, діалог </w:t>
      </w:r>
      <w:proofErr w:type="spellStart"/>
      <w:r>
        <w:rPr>
          <w:color w:val="000000"/>
          <w:sz w:val="28"/>
          <w:szCs w:val="28"/>
        </w:rPr>
        <w:t>відрефлексований</w:t>
      </w:r>
      <w:proofErr w:type="spellEnd"/>
      <w:r>
        <w:rPr>
          <w:color w:val="000000"/>
          <w:sz w:val="28"/>
          <w:szCs w:val="28"/>
        </w:rPr>
        <w:t>, який, перш за все, виступає як механізм функціонування культури.</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Виходячи із принципів </w:t>
      </w:r>
      <w:proofErr w:type="spellStart"/>
      <w:r>
        <w:rPr>
          <w:color w:val="000000"/>
          <w:sz w:val="28"/>
          <w:szCs w:val="28"/>
        </w:rPr>
        <w:t>діалого</w:t>
      </w:r>
      <w:proofErr w:type="spellEnd"/>
      <w:r>
        <w:rPr>
          <w:color w:val="000000"/>
          <w:sz w:val="28"/>
          <w:szCs w:val="28"/>
        </w:rPr>
        <w:t xml:space="preserve">-культурологічного підходу в освіті, </w:t>
      </w:r>
      <w:proofErr w:type="spellStart"/>
      <w:r>
        <w:rPr>
          <w:color w:val="000000"/>
          <w:sz w:val="28"/>
          <w:szCs w:val="28"/>
        </w:rPr>
        <w:t>Г.О.Балл</w:t>
      </w:r>
      <w:proofErr w:type="spellEnd"/>
      <w:r>
        <w:rPr>
          <w:color w:val="000000"/>
          <w:sz w:val="28"/>
          <w:szCs w:val="28"/>
        </w:rPr>
        <w:t xml:space="preserve"> створює модель діалогу, що орієнтується на прилучення його </w:t>
      </w:r>
      <w:proofErr w:type="spellStart"/>
      <w:r>
        <w:rPr>
          <w:color w:val="000000"/>
          <w:sz w:val="28"/>
          <w:szCs w:val="28"/>
        </w:rPr>
        <w:t>учас</w:t>
      </w:r>
      <w:proofErr w:type="spellEnd"/>
    </w:p>
    <w:p w:rsidR="00435A53" w:rsidRDefault="00435A53" w:rsidP="00435A53">
      <w:pPr>
        <w:pStyle w:val="a3"/>
        <w:spacing w:before="0" w:beforeAutospacing="0" w:after="0" w:afterAutospacing="0" w:line="360" w:lineRule="auto"/>
        <w:jc w:val="both"/>
        <w:rPr>
          <w:color w:val="000000"/>
          <w:sz w:val="28"/>
          <w:szCs w:val="28"/>
        </w:rPr>
      </w:pPr>
      <w:proofErr w:type="spellStart"/>
      <w:r>
        <w:rPr>
          <w:color w:val="000000"/>
          <w:sz w:val="28"/>
          <w:szCs w:val="28"/>
        </w:rPr>
        <w:t>ників</w:t>
      </w:r>
      <w:proofErr w:type="spellEnd"/>
      <w:r>
        <w:rPr>
          <w:color w:val="000000"/>
          <w:sz w:val="28"/>
          <w:szCs w:val="28"/>
        </w:rPr>
        <w:t xml:space="preserve"> до наукової культури [2]. Навчальний діалог буде продуктивним тільки тоді, коли він наближає кожного його учасника до осягнення істини, а результати дискусії залишаються відкритими. </w:t>
      </w:r>
      <w:proofErr w:type="spellStart"/>
      <w:r>
        <w:rPr>
          <w:color w:val="000000"/>
          <w:sz w:val="28"/>
          <w:szCs w:val="28"/>
        </w:rPr>
        <w:t>Г.О.Балл</w:t>
      </w:r>
      <w:proofErr w:type="spellEnd"/>
      <w:r>
        <w:rPr>
          <w:color w:val="000000"/>
          <w:sz w:val="28"/>
          <w:szCs w:val="28"/>
        </w:rPr>
        <w:t xml:space="preserve"> вважає, що «зовсім не обов'язково (а при обговоренні досить глибоких проблем – неможливо) досягти згоди з усіх питань, котрі обговорювалися під час діалогу. Йдеться про згоду щодо підсумку діалогу – підсумку, який має бути явно сформульований» [1]. Виходячи з такого положення, </w:t>
      </w:r>
      <w:proofErr w:type="spellStart"/>
      <w:r>
        <w:rPr>
          <w:color w:val="000000"/>
          <w:sz w:val="28"/>
          <w:szCs w:val="28"/>
        </w:rPr>
        <w:t>Г.О.Балл</w:t>
      </w:r>
      <w:proofErr w:type="spellEnd"/>
      <w:r>
        <w:rPr>
          <w:color w:val="000000"/>
          <w:sz w:val="28"/>
          <w:szCs w:val="28"/>
        </w:rPr>
        <w:t xml:space="preserve"> виділяє три типові варіанти погодженого підсумку діалогу: 1) підсумок діалогу збігається з думкою когось одного з його учасників; 2) підсумок діалогу </w:t>
      </w:r>
      <w:proofErr w:type="spellStart"/>
      <w:r>
        <w:rPr>
          <w:color w:val="000000"/>
          <w:sz w:val="28"/>
          <w:szCs w:val="28"/>
        </w:rPr>
        <w:t>формулюється</w:t>
      </w:r>
      <w:proofErr w:type="spellEnd"/>
      <w:r>
        <w:rPr>
          <w:color w:val="000000"/>
          <w:sz w:val="28"/>
          <w:szCs w:val="28"/>
        </w:rPr>
        <w:t xml:space="preserve"> «шляхом синтезу компонентів, кожен з яких бере початок у думці когось із учасників діалогу» [2].</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У дослідженнях учених-психологів виражені думки про те, що лежить в основі формування словесних позначень: </w:t>
      </w:r>
    </w:p>
    <w:p w:rsidR="00435A53" w:rsidRDefault="00435A53" w:rsidP="00435A53">
      <w:pPr>
        <w:pStyle w:val="a3"/>
        <w:numPr>
          <w:ilvl w:val="0"/>
          <w:numId w:val="1"/>
        </w:numPr>
        <w:spacing w:before="0" w:beforeAutospacing="0" w:after="0" w:afterAutospacing="0" w:line="360" w:lineRule="auto"/>
        <w:ind w:left="426" w:hanging="425"/>
        <w:jc w:val="both"/>
        <w:rPr>
          <w:color w:val="000000"/>
          <w:sz w:val="28"/>
          <w:szCs w:val="28"/>
        </w:rPr>
      </w:pPr>
      <w:r>
        <w:rPr>
          <w:color w:val="000000"/>
          <w:sz w:val="28"/>
          <w:szCs w:val="28"/>
        </w:rPr>
        <w:t xml:space="preserve"> Г. </w:t>
      </w:r>
      <w:proofErr w:type="spellStart"/>
      <w:r>
        <w:rPr>
          <w:color w:val="000000"/>
          <w:sz w:val="28"/>
          <w:szCs w:val="28"/>
        </w:rPr>
        <w:t>Гельмгольц</w:t>
      </w:r>
      <w:proofErr w:type="spellEnd"/>
      <w:r>
        <w:rPr>
          <w:color w:val="000000"/>
          <w:sz w:val="28"/>
          <w:szCs w:val="28"/>
        </w:rPr>
        <w:t>, наприклад, вказував, що зорове пізнавання завершується «несвідомим» висновком, у якому проходить об'єднання чуттєвого образу, що поступає ззовні, з внутрішнім образом-уявленням;</w:t>
      </w:r>
    </w:p>
    <w:p w:rsidR="00435A53" w:rsidRDefault="00435A53" w:rsidP="00435A53">
      <w:pPr>
        <w:pStyle w:val="a3"/>
        <w:numPr>
          <w:ilvl w:val="0"/>
          <w:numId w:val="1"/>
        </w:numPr>
        <w:spacing w:before="0" w:beforeAutospacing="0" w:after="0" w:afterAutospacing="0" w:line="360" w:lineRule="auto"/>
        <w:ind w:left="426" w:hanging="426"/>
        <w:jc w:val="both"/>
        <w:rPr>
          <w:color w:val="000000"/>
          <w:sz w:val="28"/>
          <w:szCs w:val="28"/>
        </w:rPr>
      </w:pPr>
      <w:r>
        <w:rPr>
          <w:color w:val="000000"/>
          <w:sz w:val="28"/>
          <w:szCs w:val="28"/>
        </w:rPr>
        <w:t xml:space="preserve">К. </w:t>
      </w:r>
      <w:proofErr w:type="spellStart"/>
      <w:r>
        <w:rPr>
          <w:color w:val="000000"/>
          <w:sz w:val="28"/>
          <w:szCs w:val="28"/>
        </w:rPr>
        <w:t>Бюлер</w:t>
      </w:r>
      <w:proofErr w:type="spellEnd"/>
      <w:r>
        <w:rPr>
          <w:color w:val="000000"/>
          <w:sz w:val="28"/>
          <w:szCs w:val="28"/>
        </w:rPr>
        <w:t>, відомий німецький психолог, підкреслював, що в основі знаходження потрібного слова лежить уявлення;</w:t>
      </w:r>
    </w:p>
    <w:p w:rsidR="00435A53" w:rsidRDefault="00435A53" w:rsidP="00435A53">
      <w:pPr>
        <w:pStyle w:val="a3"/>
        <w:spacing w:before="0" w:beforeAutospacing="0" w:after="0" w:afterAutospacing="0" w:line="360" w:lineRule="auto"/>
        <w:ind w:left="426" w:hanging="426"/>
        <w:jc w:val="both"/>
        <w:rPr>
          <w:color w:val="000000"/>
          <w:sz w:val="28"/>
          <w:szCs w:val="28"/>
        </w:rPr>
      </w:pPr>
      <w:r>
        <w:rPr>
          <w:color w:val="000000"/>
          <w:sz w:val="28"/>
          <w:szCs w:val="28"/>
        </w:rPr>
        <w:t xml:space="preserve">3) А. Бен, Г. Спенсер, І. </w:t>
      </w:r>
      <w:proofErr w:type="spellStart"/>
      <w:r>
        <w:rPr>
          <w:color w:val="000000"/>
          <w:sz w:val="28"/>
          <w:szCs w:val="28"/>
        </w:rPr>
        <w:t>Герберт</w:t>
      </w:r>
      <w:proofErr w:type="spellEnd"/>
      <w:r>
        <w:rPr>
          <w:color w:val="000000"/>
          <w:sz w:val="28"/>
          <w:szCs w:val="28"/>
        </w:rPr>
        <w:t xml:space="preserve"> та інші як представники </w:t>
      </w:r>
      <w:proofErr w:type="spellStart"/>
      <w:r>
        <w:rPr>
          <w:color w:val="000000"/>
          <w:sz w:val="28"/>
          <w:szCs w:val="28"/>
        </w:rPr>
        <w:t>асоціонізму</w:t>
      </w:r>
      <w:proofErr w:type="spellEnd"/>
      <w:r>
        <w:rPr>
          <w:color w:val="000000"/>
          <w:sz w:val="28"/>
          <w:szCs w:val="28"/>
        </w:rPr>
        <w:t xml:space="preserve"> в психології стверджують, що в основі формування словесних позначень лежать наочні образи, і для того, щоб сказати: «Я хочу води», необхідно уявити собі конкретний образ склянки води або водопровідного крану, джерела і </w:t>
      </w:r>
      <w:proofErr w:type="spellStart"/>
      <w:r>
        <w:rPr>
          <w:color w:val="000000"/>
          <w:sz w:val="28"/>
          <w:szCs w:val="28"/>
        </w:rPr>
        <w:t>т.п</w:t>
      </w:r>
      <w:proofErr w:type="spellEnd"/>
      <w:r>
        <w:rPr>
          <w:color w:val="000000"/>
          <w:sz w:val="28"/>
          <w:szCs w:val="28"/>
        </w:rPr>
        <w:t xml:space="preserve">.; </w:t>
      </w:r>
    </w:p>
    <w:p w:rsidR="00435A53" w:rsidRDefault="00435A53" w:rsidP="00435A53">
      <w:pPr>
        <w:pStyle w:val="a3"/>
        <w:numPr>
          <w:ilvl w:val="0"/>
          <w:numId w:val="2"/>
        </w:numPr>
        <w:spacing w:before="0" w:beforeAutospacing="0" w:after="0" w:afterAutospacing="0" w:line="360" w:lineRule="auto"/>
        <w:ind w:left="426" w:hanging="426"/>
        <w:jc w:val="both"/>
        <w:rPr>
          <w:color w:val="000000"/>
          <w:sz w:val="28"/>
          <w:szCs w:val="28"/>
        </w:rPr>
      </w:pPr>
      <w:r>
        <w:rPr>
          <w:color w:val="000000"/>
          <w:sz w:val="28"/>
          <w:szCs w:val="28"/>
        </w:rPr>
        <w:t xml:space="preserve">О. </w:t>
      </w:r>
      <w:proofErr w:type="spellStart"/>
      <w:r>
        <w:rPr>
          <w:color w:val="000000"/>
          <w:sz w:val="28"/>
          <w:szCs w:val="28"/>
        </w:rPr>
        <w:t>Кюльпе</w:t>
      </w:r>
      <w:proofErr w:type="spellEnd"/>
      <w:r>
        <w:rPr>
          <w:color w:val="000000"/>
          <w:sz w:val="28"/>
          <w:szCs w:val="28"/>
        </w:rPr>
        <w:t xml:space="preserve">, К. </w:t>
      </w:r>
      <w:proofErr w:type="spellStart"/>
      <w:r>
        <w:rPr>
          <w:color w:val="000000"/>
          <w:sz w:val="28"/>
          <w:szCs w:val="28"/>
        </w:rPr>
        <w:t>Марбе</w:t>
      </w:r>
      <w:proofErr w:type="spellEnd"/>
      <w:r>
        <w:rPr>
          <w:color w:val="000000"/>
          <w:sz w:val="28"/>
          <w:szCs w:val="28"/>
        </w:rPr>
        <w:t xml:space="preserve">, А. </w:t>
      </w:r>
      <w:proofErr w:type="spellStart"/>
      <w:r>
        <w:rPr>
          <w:color w:val="000000"/>
          <w:sz w:val="28"/>
          <w:szCs w:val="28"/>
        </w:rPr>
        <w:t>Мессер</w:t>
      </w:r>
      <w:proofErr w:type="spellEnd"/>
      <w:r>
        <w:rPr>
          <w:color w:val="000000"/>
          <w:sz w:val="28"/>
          <w:szCs w:val="28"/>
        </w:rPr>
        <w:t xml:space="preserve">, К. </w:t>
      </w:r>
      <w:proofErr w:type="spellStart"/>
      <w:r>
        <w:rPr>
          <w:color w:val="000000"/>
          <w:sz w:val="28"/>
          <w:szCs w:val="28"/>
        </w:rPr>
        <w:t>Бюлер</w:t>
      </w:r>
      <w:proofErr w:type="spellEnd"/>
      <w:r>
        <w:rPr>
          <w:color w:val="000000"/>
          <w:sz w:val="28"/>
          <w:szCs w:val="28"/>
        </w:rPr>
        <w:t xml:space="preserve"> уже па початку XX століття цю</w:t>
      </w:r>
      <w:r>
        <w:rPr>
          <w:i/>
          <w:iCs/>
          <w:color w:val="000000"/>
          <w:sz w:val="28"/>
          <w:szCs w:val="28"/>
        </w:rPr>
        <w:t xml:space="preserve"> </w:t>
      </w:r>
      <w:r>
        <w:rPr>
          <w:color w:val="000000"/>
          <w:sz w:val="28"/>
          <w:szCs w:val="28"/>
        </w:rPr>
        <w:t xml:space="preserve">наукову теорію піддали критиці з боку так званої </w:t>
      </w:r>
      <w:proofErr w:type="spellStart"/>
      <w:r>
        <w:rPr>
          <w:color w:val="000000"/>
          <w:sz w:val="28"/>
          <w:szCs w:val="28"/>
        </w:rPr>
        <w:t>В'юрцбурзької</w:t>
      </w:r>
      <w:proofErr w:type="spellEnd"/>
      <w:r>
        <w:rPr>
          <w:color w:val="000000"/>
          <w:sz w:val="28"/>
          <w:szCs w:val="28"/>
        </w:rPr>
        <w:t xml:space="preserve"> школи вивчення мислення. Ці психологи, вивчаючи процеси встановлення </w:t>
      </w:r>
      <w:proofErr w:type="spellStart"/>
      <w:r>
        <w:rPr>
          <w:color w:val="000000"/>
          <w:sz w:val="28"/>
          <w:szCs w:val="28"/>
        </w:rPr>
        <w:t>зв'язків</w:t>
      </w:r>
      <w:proofErr w:type="spellEnd"/>
      <w:r>
        <w:rPr>
          <w:color w:val="000000"/>
          <w:sz w:val="28"/>
          <w:szCs w:val="28"/>
        </w:rPr>
        <w:t xml:space="preserve"> </w:t>
      </w:r>
      <w:r>
        <w:rPr>
          <w:color w:val="000000"/>
          <w:sz w:val="28"/>
          <w:szCs w:val="28"/>
        </w:rPr>
        <w:lastRenderedPageBreak/>
        <w:t xml:space="preserve">між поняттями, не знайшли ознак актуалізації наочних уявлень і сформулювали принцип: немає мислення без слів, але зовсім можливе мислення без картин-згадок. Потрібно відзначити, що такий зв'язок між наочним і словесним реально існує, і тільки в процесі щораз більшого оволодіння </w:t>
      </w:r>
    </w:p>
    <w:p w:rsidR="00435A53" w:rsidRDefault="00435A53" w:rsidP="00435A53">
      <w:pPr>
        <w:pStyle w:val="a3"/>
        <w:spacing w:before="0" w:beforeAutospacing="0" w:after="0" w:afterAutospacing="0" w:line="360" w:lineRule="auto"/>
        <w:ind w:left="426" w:hanging="426"/>
        <w:jc w:val="both"/>
        <w:rPr>
          <w:color w:val="000000"/>
          <w:sz w:val="28"/>
          <w:szCs w:val="28"/>
        </w:rPr>
      </w:pPr>
      <w:r w:rsidRPr="00435A53">
        <w:rPr>
          <w:color w:val="000000"/>
          <w:sz w:val="28"/>
          <w:szCs w:val="28"/>
        </w:rPr>
        <w:t xml:space="preserve">      </w:t>
      </w:r>
      <w:r>
        <w:rPr>
          <w:color w:val="000000"/>
          <w:sz w:val="28"/>
          <w:szCs w:val="28"/>
        </w:rPr>
        <w:t>словом і предметом проходить своєрідний «переворот». У дітей, наприклад, часто виявляється, що актуалізація зорового образу відбувається з допомогою зорових позначень. Цим і багатьма іншими дослідженнями було спростовано концепцію психології, яка зводилася до гри асоціацій образів у процесі мислення [1].</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Мова, що засвоюється дитиною, одночасно вчить її мислити під час урахування:</w:t>
      </w:r>
    </w:p>
    <w:p w:rsidR="00435A53" w:rsidRDefault="00435A53" w:rsidP="00435A53">
      <w:pPr>
        <w:pStyle w:val="a3"/>
        <w:spacing w:before="0" w:beforeAutospacing="0" w:after="0" w:afterAutospacing="0" w:line="360" w:lineRule="auto"/>
        <w:jc w:val="both"/>
        <w:rPr>
          <w:color w:val="000000"/>
          <w:sz w:val="28"/>
          <w:szCs w:val="28"/>
        </w:rPr>
      </w:pPr>
      <w:r>
        <w:rPr>
          <w:color w:val="000000"/>
          <w:sz w:val="28"/>
          <w:szCs w:val="28"/>
        </w:rPr>
        <w:t>- поділу видимого і мислимого світу на класи, які в мові ми називаємо частинами мови;</w:t>
      </w:r>
    </w:p>
    <w:p w:rsidR="00435A53" w:rsidRDefault="00435A53" w:rsidP="00435A53">
      <w:pPr>
        <w:pStyle w:val="a3"/>
        <w:spacing w:before="0" w:beforeAutospacing="0" w:after="0" w:afterAutospacing="0" w:line="360" w:lineRule="auto"/>
        <w:jc w:val="both"/>
        <w:rPr>
          <w:color w:val="000000"/>
          <w:sz w:val="28"/>
          <w:szCs w:val="28"/>
        </w:rPr>
      </w:pPr>
      <w:r>
        <w:rPr>
          <w:color w:val="000000"/>
          <w:sz w:val="28"/>
          <w:szCs w:val="28"/>
        </w:rPr>
        <w:t>- неодноразового повторення, що веде до розуміння узагальнення значення «предмета», узагальнене поняття про дії, якості, кількості;</w:t>
      </w:r>
    </w:p>
    <w:p w:rsidR="00435A53" w:rsidRDefault="00435A53" w:rsidP="00435A53">
      <w:pPr>
        <w:pStyle w:val="a3"/>
        <w:spacing w:before="0" w:beforeAutospacing="0" w:after="0" w:afterAutospacing="0" w:line="360" w:lineRule="auto"/>
        <w:jc w:val="both"/>
        <w:rPr>
          <w:color w:val="000000"/>
          <w:sz w:val="28"/>
          <w:szCs w:val="28"/>
        </w:rPr>
      </w:pPr>
      <w:r>
        <w:rPr>
          <w:color w:val="000000"/>
          <w:sz w:val="28"/>
          <w:szCs w:val="28"/>
        </w:rPr>
        <w:t>- вивчення будови слова;</w:t>
      </w:r>
    </w:p>
    <w:p w:rsidR="00435A53" w:rsidRDefault="00435A53" w:rsidP="00435A53">
      <w:pPr>
        <w:pStyle w:val="a3"/>
        <w:spacing w:before="0" w:beforeAutospacing="0" w:after="0" w:afterAutospacing="0" w:line="360" w:lineRule="auto"/>
        <w:jc w:val="both"/>
        <w:rPr>
          <w:color w:val="000000"/>
          <w:sz w:val="28"/>
          <w:szCs w:val="28"/>
        </w:rPr>
      </w:pPr>
      <w:r>
        <w:rPr>
          <w:color w:val="000000"/>
          <w:sz w:val="28"/>
          <w:szCs w:val="28"/>
        </w:rPr>
        <w:t>- сприймання світу «у зв'язках і відношеннях» у галузі граматики і флексії, частини мови, прийменники, сполучники, інтонацію, порядок слів у реченні тощо</w:t>
      </w:r>
      <w:r w:rsidRPr="00435A53">
        <w:rPr>
          <w:color w:val="000000"/>
          <w:sz w:val="28"/>
          <w:szCs w:val="28"/>
          <w:lang w:val="ru-RU"/>
        </w:rPr>
        <w:t xml:space="preserve"> [</w:t>
      </w:r>
      <w:r w:rsidR="00900201">
        <w:rPr>
          <w:color w:val="000000"/>
          <w:sz w:val="28"/>
          <w:szCs w:val="28"/>
          <w:lang w:val="ru-RU"/>
        </w:rPr>
        <w:t>6</w:t>
      </w:r>
      <w:r w:rsidRPr="00435A53">
        <w:rPr>
          <w:color w:val="000000"/>
          <w:sz w:val="28"/>
          <w:szCs w:val="28"/>
          <w:lang w:val="ru-RU"/>
        </w:rPr>
        <w:t>]</w:t>
      </w:r>
      <w:r>
        <w:rPr>
          <w:color w:val="000000"/>
          <w:sz w:val="28"/>
          <w:szCs w:val="28"/>
        </w:rPr>
        <w:t>.</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На </w:t>
      </w:r>
      <w:proofErr w:type="spellStart"/>
      <w:r>
        <w:rPr>
          <w:color w:val="000000"/>
          <w:sz w:val="28"/>
          <w:szCs w:val="28"/>
        </w:rPr>
        <w:t>уроках</w:t>
      </w:r>
      <w:proofErr w:type="spellEnd"/>
      <w:r>
        <w:rPr>
          <w:color w:val="000000"/>
          <w:sz w:val="28"/>
          <w:szCs w:val="28"/>
        </w:rPr>
        <w:t xml:space="preserve"> мови, під час вивчення </w:t>
      </w:r>
      <w:proofErr w:type="spellStart"/>
      <w:r>
        <w:rPr>
          <w:color w:val="000000"/>
          <w:sz w:val="28"/>
          <w:szCs w:val="28"/>
        </w:rPr>
        <w:t>мовного</w:t>
      </w:r>
      <w:proofErr w:type="spellEnd"/>
      <w:r>
        <w:rPr>
          <w:color w:val="000000"/>
          <w:sz w:val="28"/>
          <w:szCs w:val="28"/>
        </w:rPr>
        <w:t xml:space="preserve"> матеріалу, розвивається мислення учнів, а розвинене мислення, звичайно, полегшує удосконалення діалогічного мовлення. Структурно-семантична граматика, яку вивчають зараз у школі, не втратила свого зв'язку з логікою, тобто описує систему мови близько до реальності, але вона збагатилася формально (що полегшує тренування з розвитку усного мовлення учнів). Тому у процесі засвоєння понять (термінів) суджень, які формують правило, висновків чи доказів, що вказують, як треба застосовувати ці правила до конкретних фактів мови, є можливість (і пильна необхідність) вправляти (тренувати) мислення учнів.</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Психологи доводять, що складний процес мислення може бути розкладений на прості операції – порівняння, аналіз-синтез, абстрагування-</w:t>
      </w:r>
      <w:r>
        <w:rPr>
          <w:color w:val="000000"/>
          <w:sz w:val="28"/>
          <w:szCs w:val="28"/>
        </w:rPr>
        <w:lastRenderedPageBreak/>
        <w:t>узагальнення, дедукцію-індукцію, - які допомагають учителеві у формуванні усного діалогічного мовлення учнів</w:t>
      </w:r>
      <w:r w:rsidR="00483FA2">
        <w:rPr>
          <w:color w:val="000000"/>
          <w:sz w:val="28"/>
          <w:szCs w:val="28"/>
        </w:rPr>
        <w:t>.</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Важливим у навчанні усного діалогічного мовлення є мовленнєвий </w:t>
      </w:r>
    </w:p>
    <w:p w:rsidR="00435A53" w:rsidRDefault="00435A53" w:rsidP="00435A53">
      <w:pPr>
        <w:pStyle w:val="a3"/>
        <w:spacing w:before="0" w:beforeAutospacing="0" w:after="0" w:afterAutospacing="0" w:line="360" w:lineRule="auto"/>
        <w:jc w:val="both"/>
        <w:rPr>
          <w:color w:val="000000"/>
          <w:sz w:val="28"/>
          <w:szCs w:val="28"/>
        </w:rPr>
      </w:pPr>
      <w:r>
        <w:rPr>
          <w:color w:val="000000"/>
          <w:sz w:val="28"/>
          <w:szCs w:val="28"/>
        </w:rPr>
        <w:t xml:space="preserve">вчинок і спосіб, і результат переживання. Репліки діалогічного висловлювання збагачені суб'єктивними уявленнями й особистою причетністю до змісту й мети. Мовленнєвий вчинок повинен бути результативним, здатним щось змінити в ситуації, що склалася. Результатом мовленнєвого вчинку є стимул до продовження мовленнєвої дії. Далі починається мовленнєвий обмін, окремий акт мовлення переростає в комунікативну діяльність. Це і є передумова виникнення інтересу, «суб'єктивного переживання проблеми», як зазначає </w:t>
      </w:r>
      <w:r w:rsidR="0077113E">
        <w:rPr>
          <w:color w:val="000000"/>
          <w:sz w:val="28"/>
          <w:szCs w:val="28"/>
        </w:rPr>
        <w:t xml:space="preserve"> </w:t>
      </w:r>
      <w:r>
        <w:rPr>
          <w:color w:val="000000"/>
          <w:sz w:val="28"/>
          <w:szCs w:val="28"/>
        </w:rPr>
        <w:t xml:space="preserve">О. </w:t>
      </w:r>
      <w:proofErr w:type="spellStart"/>
      <w:r>
        <w:rPr>
          <w:color w:val="000000"/>
          <w:sz w:val="28"/>
          <w:szCs w:val="28"/>
        </w:rPr>
        <w:t>Алхазішвілі</w:t>
      </w:r>
      <w:proofErr w:type="spellEnd"/>
      <w:r>
        <w:rPr>
          <w:color w:val="000000"/>
          <w:sz w:val="28"/>
          <w:szCs w:val="28"/>
        </w:rPr>
        <w:t xml:space="preserve"> [1].</w:t>
      </w:r>
    </w:p>
    <w:p w:rsidR="00435A53"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 xml:space="preserve">Психологія і педагогіка на сучасному етапі свого розвитку єдині в тому, що якість виконання мовленнєвої діяльності та її результат залежать, насамперед, від спонукання й потреб індивіда, його мотивації; саме мотивація мовлення викликає цілеспрямовану активність, яка визначає вибір засобів і прийомів, їх упорядкування для досягнення мети. </w:t>
      </w:r>
    </w:p>
    <w:p w:rsidR="00435A53" w:rsidRDefault="007E1A08" w:rsidP="00435A53">
      <w:pPr>
        <w:pStyle w:val="a3"/>
        <w:spacing w:before="0" w:beforeAutospacing="0" w:after="0" w:afterAutospacing="0" w:line="360" w:lineRule="auto"/>
        <w:ind w:firstLine="708"/>
        <w:jc w:val="both"/>
        <w:rPr>
          <w:color w:val="000000"/>
          <w:sz w:val="28"/>
          <w:szCs w:val="28"/>
        </w:rPr>
      </w:pPr>
      <w:r>
        <w:rPr>
          <w:color w:val="000000"/>
          <w:sz w:val="28"/>
          <w:szCs w:val="28"/>
        </w:rPr>
        <w:t>Т. І. Левченко</w:t>
      </w:r>
      <w:r w:rsidR="00435A53">
        <w:rPr>
          <w:color w:val="000000"/>
          <w:sz w:val="28"/>
          <w:szCs w:val="28"/>
        </w:rPr>
        <w:t xml:space="preserve"> [</w:t>
      </w:r>
      <w:r w:rsidR="00B85929">
        <w:rPr>
          <w:color w:val="000000"/>
          <w:sz w:val="28"/>
          <w:szCs w:val="28"/>
        </w:rPr>
        <w:t>6</w:t>
      </w:r>
      <w:bookmarkStart w:id="0" w:name="_GoBack"/>
      <w:bookmarkEnd w:id="0"/>
      <w:r w:rsidR="00435A53">
        <w:rPr>
          <w:color w:val="000000"/>
          <w:sz w:val="28"/>
          <w:szCs w:val="28"/>
        </w:rPr>
        <w:t xml:space="preserve">] доводить, що в навчанні учнів буде спостерігатися неуспішність у тому випадку, коли вчитель не буде керувати мотиваційним його компонентом. Коли не керувати мотивацією, спостерігається відчутне зниження її рівня, не формуються суспільно цінні мотиви. Завдання підвищення якості українського діалогічного мовлення, знань і вмінь, </w:t>
      </w:r>
    </w:p>
    <w:p w:rsidR="00435A53" w:rsidRDefault="00435A53" w:rsidP="00435A53">
      <w:pPr>
        <w:pStyle w:val="a3"/>
        <w:spacing w:before="0" w:beforeAutospacing="0" w:after="0" w:afterAutospacing="0" w:line="360" w:lineRule="auto"/>
        <w:jc w:val="both"/>
        <w:rPr>
          <w:color w:val="000000"/>
          <w:sz w:val="28"/>
          <w:szCs w:val="28"/>
        </w:rPr>
      </w:pPr>
      <w:r>
        <w:rPr>
          <w:color w:val="000000"/>
          <w:sz w:val="28"/>
          <w:szCs w:val="28"/>
        </w:rPr>
        <w:t>пов'язаних із цим процесом, вимагає максимуму уваги до мотиваційної сфери навчання. Появляється потреба керувати не тільки розумовими діями, але й мотивами засвоєння знань</w:t>
      </w:r>
      <w:r w:rsidR="00FB1617">
        <w:rPr>
          <w:color w:val="000000"/>
          <w:sz w:val="28"/>
          <w:szCs w:val="28"/>
        </w:rPr>
        <w:t>.</w:t>
      </w:r>
    </w:p>
    <w:p w:rsidR="00435A53" w:rsidRDefault="00435A53" w:rsidP="0077113E">
      <w:pPr>
        <w:pStyle w:val="a3"/>
        <w:spacing w:before="0" w:beforeAutospacing="0" w:after="0" w:afterAutospacing="0" w:line="360" w:lineRule="auto"/>
        <w:ind w:firstLine="708"/>
        <w:jc w:val="both"/>
        <w:rPr>
          <w:color w:val="000000"/>
          <w:sz w:val="28"/>
          <w:szCs w:val="28"/>
        </w:rPr>
      </w:pPr>
      <w:r>
        <w:rPr>
          <w:color w:val="000000"/>
          <w:sz w:val="28"/>
          <w:szCs w:val="28"/>
        </w:rPr>
        <w:t>У навчанні діалогічного мовлення важливим завданням є така побудова процесу навчання, щоб учні в кожній його точці відчували наближення до поставленої мети</w:t>
      </w:r>
      <w:r w:rsidR="00CC47D9">
        <w:rPr>
          <w:color w:val="000000"/>
          <w:sz w:val="28"/>
          <w:szCs w:val="28"/>
        </w:rPr>
        <w:t>. Т.І. Левченко</w:t>
      </w:r>
      <w:r>
        <w:rPr>
          <w:color w:val="000000"/>
          <w:sz w:val="28"/>
          <w:szCs w:val="28"/>
        </w:rPr>
        <w:t xml:space="preserve"> [</w:t>
      </w:r>
      <w:r w:rsidR="00B85929">
        <w:rPr>
          <w:color w:val="000000"/>
          <w:sz w:val="28"/>
          <w:szCs w:val="28"/>
        </w:rPr>
        <w:t>6</w:t>
      </w:r>
      <w:r>
        <w:rPr>
          <w:color w:val="000000"/>
          <w:sz w:val="28"/>
          <w:szCs w:val="28"/>
        </w:rPr>
        <w:t xml:space="preserve">] для такого навчання подає корисні рекомендації. Вона вважає, що для підсилення впливу широкої соціальної мотивації потрібно створювати спеціальні власне методичні засоби наочної презентації, що показують значення знання й уміння правильного усного діалогічного мовлення для людей усіх спеціальностей у різних ситуаціях </w:t>
      </w:r>
      <w:r>
        <w:rPr>
          <w:color w:val="000000"/>
          <w:sz w:val="28"/>
          <w:szCs w:val="28"/>
        </w:rPr>
        <w:lastRenderedPageBreak/>
        <w:t xml:space="preserve">спілкування. Тут використовують приклади з художньої літератури, художні фільми, відповідну наукову літературу, пресу тощо. Усе це зможе «наблизити» і зробити відчутою далеку мету, підготуватися до затрат часу й сил. У цьому зовнішня мотивація збігається із внутрішньою та підкреслюється нею. Зовнішня мотивація виконує ніби «стратегічну роль», спонукаючи ззовні рух протягом усього періоду навчання; внутрішня мотивація тактичну, оскільки вона «підігрівається» самим процесом удосконалення усного діалогічного мовлення (її часто називають «процесуальною» мотивацією). Ця мотивація є близькою та актуальною; адже навчальний процес будується таким чином, щоб учні на кожному </w:t>
      </w:r>
      <w:proofErr w:type="spellStart"/>
      <w:r>
        <w:rPr>
          <w:color w:val="000000"/>
          <w:sz w:val="28"/>
          <w:szCs w:val="28"/>
        </w:rPr>
        <w:t>уроці</w:t>
      </w:r>
      <w:proofErr w:type="spellEnd"/>
      <w:r>
        <w:rPr>
          <w:color w:val="000000"/>
          <w:sz w:val="28"/>
          <w:szCs w:val="28"/>
        </w:rPr>
        <w:t xml:space="preserve"> переживали радість від задоволення потреб, специфічних для удосконалення діалогічного спілкування. </w:t>
      </w:r>
    </w:p>
    <w:p w:rsidR="00CC47D9" w:rsidRDefault="00435A53" w:rsidP="00435A53">
      <w:pPr>
        <w:pStyle w:val="a3"/>
        <w:spacing w:before="0" w:beforeAutospacing="0" w:after="0" w:afterAutospacing="0" w:line="360" w:lineRule="auto"/>
        <w:ind w:firstLine="708"/>
        <w:jc w:val="both"/>
        <w:rPr>
          <w:color w:val="000000"/>
          <w:sz w:val="28"/>
          <w:szCs w:val="28"/>
        </w:rPr>
      </w:pPr>
      <w:r>
        <w:rPr>
          <w:color w:val="000000"/>
          <w:sz w:val="28"/>
          <w:szCs w:val="28"/>
        </w:rPr>
        <w:t>У процесі навчання діалогічного мовлення враховується комунікативно-діяльнісний підхід. Він виходить із «необхідності навчання видів мовленнєвої діяльності (говоріння, аудіювання) як механізму спілкування, з одного боку, і виділення у процесі навчання тих явищ, які повинні бути засвоєні на рівні знань (це в основному правила), а які на рівні умінь і навичок (наприклад, побудова діалогів...), з іншого боку» [</w:t>
      </w:r>
      <w:r w:rsidR="00900201">
        <w:rPr>
          <w:color w:val="000000"/>
          <w:sz w:val="28"/>
          <w:szCs w:val="28"/>
        </w:rPr>
        <w:t>6</w:t>
      </w:r>
      <w:r>
        <w:rPr>
          <w:color w:val="000000"/>
          <w:sz w:val="28"/>
          <w:szCs w:val="28"/>
        </w:rPr>
        <w:t xml:space="preserve">]. </w:t>
      </w:r>
    </w:p>
    <w:p w:rsidR="00435A53" w:rsidRDefault="00435A53" w:rsidP="007E1A08">
      <w:pPr>
        <w:pStyle w:val="a3"/>
        <w:spacing w:before="0" w:beforeAutospacing="0" w:after="0" w:afterAutospacing="0" w:line="360" w:lineRule="auto"/>
        <w:ind w:firstLine="708"/>
        <w:rPr>
          <w:color w:val="000000"/>
          <w:sz w:val="28"/>
          <w:szCs w:val="28"/>
        </w:rPr>
      </w:pPr>
      <w:r>
        <w:rPr>
          <w:color w:val="000000"/>
          <w:sz w:val="28"/>
          <w:szCs w:val="28"/>
        </w:rPr>
        <w:t>Здобування знань, формування навичок і розвиток умінь при навчанні української мови - це взаємозв'язані процеси, що функціонують на основі принципу мотивації, який передбачає створення і використання відповідних мотивів удосконалення діалогічного мовлення.</w:t>
      </w:r>
    </w:p>
    <w:p w:rsidR="007E1A08" w:rsidRDefault="007E1A08" w:rsidP="007E1A08">
      <w:pPr>
        <w:pStyle w:val="a3"/>
        <w:spacing w:before="0" w:beforeAutospacing="0" w:after="0" w:afterAutospacing="0" w:line="360" w:lineRule="auto"/>
        <w:rPr>
          <w:color w:val="000000"/>
          <w:sz w:val="28"/>
          <w:szCs w:val="28"/>
        </w:rPr>
      </w:pPr>
    </w:p>
    <w:p w:rsidR="007E1A08" w:rsidRDefault="007E1A08" w:rsidP="007E1A08">
      <w:pPr>
        <w:pStyle w:val="a3"/>
        <w:spacing w:before="0" w:beforeAutospacing="0" w:after="0" w:afterAutospacing="0" w:line="360" w:lineRule="auto"/>
        <w:jc w:val="center"/>
        <w:rPr>
          <w:b/>
          <w:sz w:val="28"/>
          <w:szCs w:val="28"/>
        </w:rPr>
      </w:pPr>
      <w:r>
        <w:rPr>
          <w:b/>
          <w:sz w:val="28"/>
          <w:szCs w:val="28"/>
        </w:rPr>
        <w:t>Список використаної літератури</w:t>
      </w:r>
    </w:p>
    <w:p w:rsidR="007E1A08" w:rsidRDefault="007E1A08" w:rsidP="007E1A08">
      <w:pPr>
        <w:pStyle w:val="a4"/>
        <w:numPr>
          <w:ilvl w:val="0"/>
          <w:numId w:val="3"/>
        </w:numPr>
        <w:spacing w:after="0"/>
        <w:ind w:left="426" w:hanging="426"/>
        <w:jc w:val="both"/>
      </w:pPr>
      <w:r w:rsidRPr="007E1A08">
        <w:rPr>
          <w:szCs w:val="28"/>
        </w:rPr>
        <w:t>1</w:t>
      </w:r>
      <w:r>
        <w:rPr>
          <w:b/>
          <w:szCs w:val="28"/>
        </w:rPr>
        <w:t>.</w:t>
      </w:r>
      <w:r w:rsidRPr="007E1A08">
        <w:t xml:space="preserve"> </w:t>
      </w:r>
      <w:proofErr w:type="spellStart"/>
      <w:r>
        <w:t>Балл</w:t>
      </w:r>
      <w:proofErr w:type="spellEnd"/>
      <w:r>
        <w:t xml:space="preserve"> Г. О., Волинець А. Г., Копилов С. О. </w:t>
      </w:r>
      <w:proofErr w:type="spellStart"/>
      <w:r>
        <w:t>Діалого</w:t>
      </w:r>
      <w:proofErr w:type="spellEnd"/>
      <w:r>
        <w:t xml:space="preserve">-культурологічний підхід як напрям гуманізації освіти // Психологія в школі: </w:t>
      </w:r>
      <w:proofErr w:type="spellStart"/>
      <w:r>
        <w:t>Зб</w:t>
      </w:r>
      <w:proofErr w:type="spellEnd"/>
      <w:r>
        <w:t>. матеріалів Другого Міжрегіонального науково-практичного семінару (Рівне, 16-18 січня 1997 р.). – К., 1997. – 403 с.</w:t>
      </w:r>
    </w:p>
    <w:p w:rsidR="007E1A08" w:rsidRDefault="007E1A08" w:rsidP="007E1A08">
      <w:pPr>
        <w:pStyle w:val="a4"/>
        <w:numPr>
          <w:ilvl w:val="0"/>
          <w:numId w:val="3"/>
        </w:numPr>
        <w:spacing w:after="0"/>
        <w:ind w:left="426" w:hanging="426"/>
        <w:jc w:val="both"/>
      </w:pPr>
      <w:proofErr w:type="spellStart"/>
      <w:r>
        <w:t>Балл</w:t>
      </w:r>
      <w:proofErr w:type="spellEnd"/>
      <w:r>
        <w:t xml:space="preserve"> Г. О. Проблема гуманізації освіти та діалогічний підхід // Діалогічна взаємодія у навчально-виховному процесі загальноосвітньої школи / За ред. В. В. </w:t>
      </w:r>
      <w:proofErr w:type="spellStart"/>
      <w:r>
        <w:t>Андрієвської</w:t>
      </w:r>
      <w:proofErr w:type="spellEnd"/>
      <w:r>
        <w:t xml:space="preserve">,  Г. О. </w:t>
      </w:r>
      <w:proofErr w:type="spellStart"/>
      <w:r>
        <w:t>Балла</w:t>
      </w:r>
      <w:proofErr w:type="spellEnd"/>
      <w:r>
        <w:t>, А. Г. Волинця та ін. – К., 1997. – 198 с.</w:t>
      </w:r>
    </w:p>
    <w:p w:rsidR="007E1A08" w:rsidRDefault="007E1A08" w:rsidP="007E1A08">
      <w:pPr>
        <w:pStyle w:val="a4"/>
        <w:numPr>
          <w:ilvl w:val="0"/>
          <w:numId w:val="3"/>
        </w:numPr>
        <w:spacing w:after="0"/>
        <w:ind w:left="426" w:hanging="426"/>
        <w:jc w:val="both"/>
      </w:pPr>
      <w:r>
        <w:lastRenderedPageBreak/>
        <w:t xml:space="preserve">Голуб Н. Б. Діалогізація процесу навчання української мови учнів основної школи / Голуб Н. Б. // Наукові записи Національного університету «Острозька академія». Серія «Психологія і педагогіка» / ред. </w:t>
      </w:r>
      <w:proofErr w:type="spellStart"/>
      <w:r>
        <w:t>кол</w:t>
      </w:r>
      <w:proofErr w:type="spellEnd"/>
      <w:r>
        <w:t xml:space="preserve">. І. Д. Пасічник, Р. В. </w:t>
      </w:r>
      <w:proofErr w:type="spellStart"/>
      <w:r>
        <w:t>Каламаж</w:t>
      </w:r>
      <w:proofErr w:type="spellEnd"/>
      <w:r>
        <w:t xml:space="preserve">, І. М. Хом’як та ін. – Острог: Національний університет «Острозька академія», 2014. – </w:t>
      </w:r>
      <w:proofErr w:type="spellStart"/>
      <w:r>
        <w:t>Вип</w:t>
      </w:r>
      <w:proofErr w:type="spellEnd"/>
      <w:r>
        <w:t>. 29. – C. 3-8.</w:t>
      </w:r>
    </w:p>
    <w:p w:rsidR="00A131A9" w:rsidRDefault="00A131A9" w:rsidP="00A131A9">
      <w:pPr>
        <w:pStyle w:val="a4"/>
        <w:numPr>
          <w:ilvl w:val="0"/>
          <w:numId w:val="3"/>
        </w:numPr>
        <w:spacing w:after="0"/>
        <w:ind w:left="426" w:hanging="426"/>
        <w:jc w:val="both"/>
      </w:pPr>
      <w:r>
        <w:t>Коваль А., Коптілов В. Крилаті вислови в українській літературній    мові. –  К., 1975. – 335 с.</w:t>
      </w:r>
    </w:p>
    <w:p w:rsidR="007E1A08" w:rsidRPr="00A131A9" w:rsidRDefault="007E1A08" w:rsidP="00A131A9">
      <w:pPr>
        <w:pStyle w:val="a4"/>
        <w:numPr>
          <w:ilvl w:val="0"/>
          <w:numId w:val="3"/>
        </w:numPr>
        <w:spacing w:after="0"/>
        <w:jc w:val="both"/>
        <w:rPr>
          <w:szCs w:val="28"/>
        </w:rPr>
      </w:pPr>
      <w:r>
        <w:t>Ларін Б. О. Про народну фразеологію // Українська мова в школі.  – 1959. –  №5 – С. 11-25.</w:t>
      </w:r>
    </w:p>
    <w:p w:rsidR="007E1A08" w:rsidRDefault="007E1A08" w:rsidP="007E1A08">
      <w:pPr>
        <w:pStyle w:val="a4"/>
        <w:numPr>
          <w:ilvl w:val="0"/>
          <w:numId w:val="3"/>
        </w:numPr>
        <w:spacing w:after="0"/>
        <w:ind w:left="426" w:hanging="426"/>
        <w:jc w:val="both"/>
      </w:pPr>
      <w:r>
        <w:rPr>
          <w:szCs w:val="28"/>
        </w:rPr>
        <w:t>Левченко Т.І. Мотивація суб’єкта в різних видах діяльності:   [монографія] Тетяна Левченко. – Вінниця: Нова Книга, 2011. – С.183-322.</w:t>
      </w:r>
    </w:p>
    <w:p w:rsidR="007E1A08" w:rsidRDefault="007E1A08" w:rsidP="007E1A08">
      <w:pPr>
        <w:pStyle w:val="a4"/>
        <w:numPr>
          <w:ilvl w:val="0"/>
          <w:numId w:val="3"/>
        </w:numPr>
        <w:spacing w:after="0"/>
        <w:ind w:left="426" w:hanging="426"/>
        <w:jc w:val="both"/>
      </w:pPr>
      <w:r>
        <w:t xml:space="preserve">Мельничайко В. Я. Лінгвістика тексту в шкільному курсі української мови: Посібник для вчителів. – К., 1986. – 186 с./ За ред. Г. О. </w:t>
      </w:r>
      <w:proofErr w:type="spellStart"/>
      <w:r>
        <w:t>Балла</w:t>
      </w:r>
      <w:proofErr w:type="spellEnd"/>
      <w:r>
        <w:t>. – К.: Наукова думка, 1998. – 196 с.</w:t>
      </w:r>
    </w:p>
    <w:p w:rsidR="007E1A08" w:rsidRPr="00A131A9" w:rsidRDefault="007E1A08" w:rsidP="00A131A9">
      <w:pPr>
        <w:spacing w:after="0"/>
        <w:jc w:val="both"/>
      </w:pPr>
    </w:p>
    <w:p w:rsidR="007E1A08" w:rsidRDefault="007E1A08" w:rsidP="007E1A08">
      <w:pPr>
        <w:pStyle w:val="a3"/>
        <w:spacing w:before="0" w:beforeAutospacing="0" w:after="0" w:afterAutospacing="0" w:line="360" w:lineRule="auto"/>
        <w:ind w:firstLine="708"/>
        <w:jc w:val="center"/>
        <w:rPr>
          <w:color w:val="000000"/>
          <w:sz w:val="28"/>
          <w:szCs w:val="28"/>
        </w:rPr>
      </w:pPr>
    </w:p>
    <w:p w:rsidR="00435A53" w:rsidRDefault="00435A53" w:rsidP="00435A53">
      <w:pPr>
        <w:pStyle w:val="a3"/>
        <w:spacing w:before="0" w:beforeAutospacing="0" w:after="0" w:afterAutospacing="0" w:line="360" w:lineRule="auto"/>
        <w:jc w:val="both"/>
        <w:rPr>
          <w:b/>
          <w:color w:val="000000"/>
          <w:sz w:val="28"/>
          <w:szCs w:val="28"/>
        </w:rPr>
      </w:pPr>
    </w:p>
    <w:p w:rsidR="00435A53" w:rsidRDefault="00435A53" w:rsidP="00435A53">
      <w:pPr>
        <w:jc w:val="center"/>
      </w:pPr>
    </w:p>
    <w:sectPr w:rsidR="00435A5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60AA"/>
    <w:multiLevelType w:val="hybridMultilevel"/>
    <w:tmpl w:val="5B5C47CC"/>
    <w:lvl w:ilvl="0" w:tplc="04190011">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39F299D"/>
    <w:multiLevelType w:val="hybridMultilevel"/>
    <w:tmpl w:val="A68CC2B2"/>
    <w:lvl w:ilvl="0" w:tplc="B3925A08">
      <w:start w:val="1"/>
      <w:numFmt w:val="decimal"/>
      <w:lvlText w:val="%1)"/>
      <w:lvlJc w:val="left"/>
      <w:pPr>
        <w:ind w:left="720" w:hanging="360"/>
      </w:pPr>
      <w:rPr>
        <w:rFonts w:ascii="Times New Roman" w:eastAsia="Times New Roman" w:hAnsi="Times New Roman" w:cs="Times New Roman"/>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47566049"/>
    <w:multiLevelType w:val="hybridMultilevel"/>
    <w:tmpl w:val="D98EC286"/>
    <w:lvl w:ilvl="0" w:tplc="2B5A9332">
      <w:start w:val="1"/>
      <w:numFmt w:val="decimal"/>
      <w:lvlText w:val="%1."/>
      <w:lvlJc w:val="left"/>
      <w:pPr>
        <w:ind w:left="360" w:hanging="360"/>
      </w:pPr>
      <w:rPr>
        <w:b w:val="0"/>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A53"/>
    <w:rsid w:val="00435A53"/>
    <w:rsid w:val="00483FA2"/>
    <w:rsid w:val="00531ED6"/>
    <w:rsid w:val="0057510B"/>
    <w:rsid w:val="0077113E"/>
    <w:rsid w:val="007E1A08"/>
    <w:rsid w:val="00900201"/>
    <w:rsid w:val="00A131A9"/>
    <w:rsid w:val="00A448DB"/>
    <w:rsid w:val="00B85929"/>
    <w:rsid w:val="00BE1BF2"/>
    <w:rsid w:val="00CA74A8"/>
    <w:rsid w:val="00CC47D9"/>
    <w:rsid w:val="00FB16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1C3F9"/>
  <w15:chartTrackingRefBased/>
  <w15:docId w15:val="{19235C18-8A57-449A-B733-002F833C6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35A5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List Paragraph"/>
    <w:basedOn w:val="a"/>
    <w:uiPriority w:val="34"/>
    <w:qFormat/>
    <w:rsid w:val="007E1A08"/>
    <w:pPr>
      <w:spacing w:after="200" w:line="360" w:lineRule="auto"/>
      <w:ind w:left="720"/>
      <w:contextualSpacing/>
    </w:pPr>
    <w:rPr>
      <w:rFonts w:ascii="Times New Roman" w:hAnsi="Times New Roman"/>
      <w:color w:val="000000" w:themeColor="text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302075">
      <w:bodyDiv w:val="1"/>
      <w:marLeft w:val="0"/>
      <w:marRight w:val="0"/>
      <w:marTop w:val="0"/>
      <w:marBottom w:val="0"/>
      <w:divBdr>
        <w:top w:val="none" w:sz="0" w:space="0" w:color="auto"/>
        <w:left w:val="none" w:sz="0" w:space="0" w:color="auto"/>
        <w:bottom w:val="none" w:sz="0" w:space="0" w:color="auto"/>
        <w:right w:val="none" w:sz="0" w:space="0" w:color="auto"/>
      </w:divBdr>
    </w:div>
    <w:div w:id="895898843">
      <w:bodyDiv w:val="1"/>
      <w:marLeft w:val="0"/>
      <w:marRight w:val="0"/>
      <w:marTop w:val="0"/>
      <w:marBottom w:val="0"/>
      <w:divBdr>
        <w:top w:val="none" w:sz="0" w:space="0" w:color="auto"/>
        <w:left w:val="none" w:sz="0" w:space="0" w:color="auto"/>
        <w:bottom w:val="none" w:sz="0" w:space="0" w:color="auto"/>
        <w:right w:val="none" w:sz="0" w:space="0" w:color="auto"/>
      </w:divBdr>
    </w:div>
    <w:div w:id="908229701">
      <w:bodyDiv w:val="1"/>
      <w:marLeft w:val="0"/>
      <w:marRight w:val="0"/>
      <w:marTop w:val="0"/>
      <w:marBottom w:val="0"/>
      <w:divBdr>
        <w:top w:val="none" w:sz="0" w:space="0" w:color="auto"/>
        <w:left w:val="none" w:sz="0" w:space="0" w:color="auto"/>
        <w:bottom w:val="none" w:sz="0" w:space="0" w:color="auto"/>
        <w:right w:val="none" w:sz="0" w:space="0" w:color="auto"/>
      </w:divBdr>
    </w:div>
    <w:div w:id="972367165">
      <w:bodyDiv w:val="1"/>
      <w:marLeft w:val="0"/>
      <w:marRight w:val="0"/>
      <w:marTop w:val="0"/>
      <w:marBottom w:val="0"/>
      <w:divBdr>
        <w:top w:val="none" w:sz="0" w:space="0" w:color="auto"/>
        <w:left w:val="none" w:sz="0" w:space="0" w:color="auto"/>
        <w:bottom w:val="none" w:sz="0" w:space="0" w:color="auto"/>
        <w:right w:val="none" w:sz="0" w:space="0" w:color="auto"/>
      </w:divBdr>
    </w:div>
    <w:div w:id="1096513000">
      <w:bodyDiv w:val="1"/>
      <w:marLeft w:val="0"/>
      <w:marRight w:val="0"/>
      <w:marTop w:val="0"/>
      <w:marBottom w:val="0"/>
      <w:divBdr>
        <w:top w:val="none" w:sz="0" w:space="0" w:color="auto"/>
        <w:left w:val="none" w:sz="0" w:space="0" w:color="auto"/>
        <w:bottom w:val="none" w:sz="0" w:space="0" w:color="auto"/>
        <w:right w:val="none" w:sz="0" w:space="0" w:color="auto"/>
      </w:divBdr>
    </w:div>
    <w:div w:id="1206405510">
      <w:bodyDiv w:val="1"/>
      <w:marLeft w:val="0"/>
      <w:marRight w:val="0"/>
      <w:marTop w:val="0"/>
      <w:marBottom w:val="0"/>
      <w:divBdr>
        <w:top w:val="none" w:sz="0" w:space="0" w:color="auto"/>
        <w:left w:val="none" w:sz="0" w:space="0" w:color="auto"/>
        <w:bottom w:val="none" w:sz="0" w:space="0" w:color="auto"/>
        <w:right w:val="none" w:sz="0" w:space="0" w:color="auto"/>
      </w:divBdr>
    </w:div>
    <w:div w:id="1219366776">
      <w:bodyDiv w:val="1"/>
      <w:marLeft w:val="0"/>
      <w:marRight w:val="0"/>
      <w:marTop w:val="0"/>
      <w:marBottom w:val="0"/>
      <w:divBdr>
        <w:top w:val="none" w:sz="0" w:space="0" w:color="auto"/>
        <w:left w:val="none" w:sz="0" w:space="0" w:color="auto"/>
        <w:bottom w:val="none" w:sz="0" w:space="0" w:color="auto"/>
        <w:right w:val="none" w:sz="0" w:space="0" w:color="auto"/>
      </w:divBdr>
    </w:div>
    <w:div w:id="1667587613">
      <w:bodyDiv w:val="1"/>
      <w:marLeft w:val="0"/>
      <w:marRight w:val="0"/>
      <w:marTop w:val="0"/>
      <w:marBottom w:val="0"/>
      <w:divBdr>
        <w:top w:val="none" w:sz="0" w:space="0" w:color="auto"/>
        <w:left w:val="none" w:sz="0" w:space="0" w:color="auto"/>
        <w:bottom w:val="none" w:sz="0" w:space="0" w:color="auto"/>
        <w:right w:val="none" w:sz="0" w:space="0" w:color="auto"/>
      </w:divBdr>
    </w:div>
    <w:div w:id="1738896899">
      <w:bodyDiv w:val="1"/>
      <w:marLeft w:val="0"/>
      <w:marRight w:val="0"/>
      <w:marTop w:val="0"/>
      <w:marBottom w:val="0"/>
      <w:divBdr>
        <w:top w:val="none" w:sz="0" w:space="0" w:color="auto"/>
        <w:left w:val="none" w:sz="0" w:space="0" w:color="auto"/>
        <w:bottom w:val="none" w:sz="0" w:space="0" w:color="auto"/>
        <w:right w:val="none" w:sz="0" w:space="0" w:color="auto"/>
      </w:divBdr>
    </w:div>
    <w:div w:id="188147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8</Pages>
  <Words>9494</Words>
  <Characters>5413</Characters>
  <Application>Microsoft Office Word</Application>
  <DocSecurity>0</DocSecurity>
  <Lines>45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2023-11-30T11:55:00Z</dcterms:created>
  <dcterms:modified xsi:type="dcterms:W3CDTF">2023-12-01T20:44:00Z</dcterms:modified>
</cp:coreProperties>
</file>