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shd w:val="clear" w:color="auto" w:fill="FFFFFF"/>
        </w:rPr>
      </w:pPr>
      <w:r w:rsidRPr="00791E8D">
        <w:rPr>
          <w:b/>
          <w:color w:val="333333"/>
          <w:sz w:val="28"/>
          <w:szCs w:val="28"/>
        </w:rPr>
        <w:t>Що приховує фраза «</w:t>
      </w:r>
      <w:r w:rsidRPr="00791E8D">
        <w:rPr>
          <w:b/>
          <w:color w:val="333333"/>
          <w:sz w:val="28"/>
          <w:szCs w:val="28"/>
          <w:shd w:val="clear" w:color="auto" w:fill="FFFFFF"/>
        </w:rPr>
        <w:t xml:space="preserve">I </w:t>
      </w:r>
      <w:proofErr w:type="spellStart"/>
      <w:r w:rsidRPr="00791E8D">
        <w:rPr>
          <w:b/>
          <w:color w:val="333333"/>
          <w:sz w:val="28"/>
          <w:szCs w:val="28"/>
          <w:shd w:val="clear" w:color="auto" w:fill="FFFFFF"/>
        </w:rPr>
        <w:t>don't</w:t>
      </w:r>
      <w:proofErr w:type="spellEnd"/>
      <w:r w:rsidRPr="00791E8D">
        <w:rPr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791E8D">
        <w:rPr>
          <w:b/>
          <w:color w:val="333333"/>
          <w:sz w:val="28"/>
          <w:szCs w:val="28"/>
          <w:shd w:val="clear" w:color="auto" w:fill="FFFFFF"/>
        </w:rPr>
        <w:t>know</w:t>
      </w:r>
      <w:proofErr w:type="spellEnd"/>
      <w:r w:rsidRPr="00791E8D">
        <w:rPr>
          <w:b/>
          <w:color w:val="333333"/>
          <w:sz w:val="28"/>
          <w:szCs w:val="28"/>
          <w:shd w:val="clear" w:color="auto" w:fill="FFFFFF"/>
        </w:rPr>
        <w:t>»</w:t>
      </w:r>
      <w:r w:rsidRPr="00791E8D">
        <w:rPr>
          <w:b/>
          <w:color w:val="333333"/>
          <w:sz w:val="28"/>
          <w:szCs w:val="28"/>
          <w:shd w:val="clear" w:color="auto" w:fill="FFFFFF"/>
        </w:rPr>
        <w:t xml:space="preserve"> і як з нею працювати?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t xml:space="preserve">Часто на </w:t>
      </w:r>
      <w:proofErr w:type="spellStart"/>
      <w:r w:rsidRPr="00791E8D">
        <w:rPr>
          <w:color w:val="333333"/>
          <w:sz w:val="28"/>
          <w:szCs w:val="28"/>
        </w:rPr>
        <w:t>уроках</w:t>
      </w:r>
      <w:proofErr w:type="spellEnd"/>
      <w:r w:rsidRPr="00791E8D">
        <w:rPr>
          <w:color w:val="333333"/>
          <w:sz w:val="28"/>
          <w:szCs w:val="28"/>
        </w:rPr>
        <w:t xml:space="preserve"> англійської мови ми прагнемо, щоб учні давали максимально повні та правильні відповіді. Іноді, коли учень каже «I </w:t>
      </w:r>
      <w:proofErr w:type="spellStart"/>
      <w:r w:rsidRPr="00791E8D">
        <w:rPr>
          <w:color w:val="333333"/>
          <w:sz w:val="28"/>
          <w:szCs w:val="28"/>
        </w:rPr>
        <w:t>don't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know</w:t>
      </w:r>
      <w:proofErr w:type="spellEnd"/>
      <w:r w:rsidRPr="00791E8D">
        <w:rPr>
          <w:color w:val="333333"/>
          <w:sz w:val="28"/>
          <w:szCs w:val="28"/>
        </w:rPr>
        <w:t xml:space="preserve">», багато вчителів сприймають це як ознаку ліні або небажання працювати. Однак, це далеко не так. У цій статті ми розглянемо, що може стояти за цією відповіддю, та як вчителі англійської мови можуть ефективно працювати з нею, </w:t>
      </w:r>
      <w:bookmarkStart w:id="0" w:name="_GoBack"/>
      <w:bookmarkEnd w:id="0"/>
      <w:r w:rsidRPr="00791E8D">
        <w:rPr>
          <w:color w:val="333333"/>
          <w:sz w:val="28"/>
          <w:szCs w:val="28"/>
        </w:rPr>
        <w:t>перетворюючи її з перешкоди на стимул для навчання.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83838"/>
          <w:sz w:val="28"/>
          <w:szCs w:val="28"/>
        </w:rPr>
      </w:pPr>
      <w:r w:rsidRPr="00791E8D">
        <w:rPr>
          <w:color w:val="333333"/>
          <w:sz w:val="28"/>
          <w:szCs w:val="28"/>
        </w:rPr>
        <w:br/>
      </w:r>
      <w:r w:rsidRPr="00791E8D">
        <w:rPr>
          <w:b/>
          <w:bCs/>
          <w:color w:val="383838"/>
          <w:sz w:val="28"/>
          <w:szCs w:val="28"/>
        </w:rPr>
        <w:t xml:space="preserve">Чому учні обирають шлях найменшого спротиву, надаючи коротку відповідь «I </w:t>
      </w:r>
      <w:proofErr w:type="spellStart"/>
      <w:r w:rsidRPr="00791E8D">
        <w:rPr>
          <w:b/>
          <w:bCs/>
          <w:color w:val="383838"/>
          <w:sz w:val="28"/>
          <w:szCs w:val="28"/>
        </w:rPr>
        <w:t>don't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know</w:t>
      </w:r>
      <w:proofErr w:type="spellEnd"/>
      <w:r w:rsidRPr="00791E8D">
        <w:rPr>
          <w:b/>
          <w:bCs/>
          <w:color w:val="383838"/>
          <w:sz w:val="28"/>
          <w:szCs w:val="28"/>
        </w:rPr>
        <w:t>»?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t>Почнемо з того, що учні можуть просто</w:t>
      </w:r>
      <w:r w:rsidRPr="00791E8D">
        <w:rPr>
          <w:b/>
          <w:bCs/>
          <w:color w:val="383838"/>
          <w:sz w:val="28"/>
          <w:szCs w:val="28"/>
        </w:rPr>
        <w:t> не володіти необхідним словниковим запасом, граматичними конструкціями або фонетичними навичками</w:t>
      </w:r>
      <w:r w:rsidRPr="00791E8D">
        <w:rPr>
          <w:color w:val="333333"/>
          <w:sz w:val="28"/>
          <w:szCs w:val="28"/>
        </w:rPr>
        <w:t>, щоб сформулювати відповідь. Наприклад, якщо учнів запитати про вживання прийменників з фразовими дієсловами, яких вони ще не вивчали, учні природно, скажуть, що не знають.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br/>
        <w:t>Навіть маючи достатній словниковий запас, учні можуть </w:t>
      </w:r>
      <w:r w:rsidRPr="00791E8D">
        <w:rPr>
          <w:b/>
          <w:bCs/>
          <w:color w:val="383838"/>
          <w:sz w:val="28"/>
          <w:szCs w:val="28"/>
        </w:rPr>
        <w:t>не зрозуміти, якої відповіді від них очікують</w:t>
      </w:r>
      <w:r w:rsidRPr="00791E8D">
        <w:rPr>
          <w:color w:val="333333"/>
          <w:sz w:val="28"/>
          <w:szCs w:val="28"/>
        </w:rPr>
        <w:t>, якщо завдання сформульовано нечітко або багатозначно. Відсутність чітких інструкцій може дезорієнтувати школярів і призвести до неправильного розуміння завдання, а наявність у завданні незрозумілих термінів або скорочень може ускладнити його виконання.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br/>
        <w:t>Іншою причиною може бути, що учні </w:t>
      </w:r>
      <w:r w:rsidRPr="00791E8D">
        <w:rPr>
          <w:b/>
          <w:bCs/>
          <w:color w:val="383838"/>
          <w:sz w:val="28"/>
          <w:szCs w:val="28"/>
        </w:rPr>
        <w:t>не бачать зв'язку між запитанням і своїм досвідом.</w:t>
      </w:r>
      <w:r w:rsidRPr="00791E8D">
        <w:rPr>
          <w:color w:val="333333"/>
          <w:sz w:val="28"/>
          <w:szCs w:val="28"/>
        </w:rPr>
        <w:t> Вони не можуть зрозуміти, як їх особистий досвід пов'язаний з поставленим запитанням. В таких випадках вони розгублюються і не знають, що відповісти. 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br/>
        <w:t>Окрім цього, сором'язливі учні </w:t>
      </w:r>
      <w:r w:rsidRPr="00791E8D">
        <w:rPr>
          <w:b/>
          <w:bCs/>
          <w:color w:val="383838"/>
          <w:sz w:val="28"/>
          <w:szCs w:val="28"/>
        </w:rPr>
        <w:t>можуть відчувати дискомфорт, виступаючи перед класом</w:t>
      </w:r>
      <w:r w:rsidRPr="00791E8D">
        <w:rPr>
          <w:color w:val="333333"/>
          <w:sz w:val="28"/>
          <w:szCs w:val="28"/>
        </w:rPr>
        <w:t>, і тому відмовляються відповідати на запитання. Бажання справити гарне враження або страх бути висміяним може змусити підлітків уникнути відповіді, навіть якщо вони знають правильну відповідь. 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br/>
        <w:t>Пропонуємо розглянути</w:t>
      </w:r>
      <w:r w:rsidRPr="00791E8D">
        <w:rPr>
          <w:b/>
          <w:bCs/>
          <w:color w:val="383838"/>
          <w:sz w:val="28"/>
          <w:szCs w:val="28"/>
        </w:rPr>
        <w:t xml:space="preserve"> прийоми, які допоможуть вам перетворити відповідь «I </w:t>
      </w:r>
      <w:proofErr w:type="spellStart"/>
      <w:r w:rsidRPr="00791E8D">
        <w:rPr>
          <w:b/>
          <w:bCs/>
          <w:color w:val="383838"/>
          <w:sz w:val="28"/>
          <w:szCs w:val="28"/>
        </w:rPr>
        <w:t>don’t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know</w:t>
      </w:r>
      <w:proofErr w:type="spellEnd"/>
      <w:r w:rsidRPr="00791E8D">
        <w:rPr>
          <w:b/>
          <w:bCs/>
          <w:color w:val="383838"/>
          <w:sz w:val="28"/>
          <w:szCs w:val="28"/>
        </w:rPr>
        <w:t>» на стимул для навчання</w:t>
      </w:r>
      <w:r w:rsidRPr="00791E8D">
        <w:rPr>
          <w:color w:val="333333"/>
          <w:sz w:val="28"/>
          <w:szCs w:val="28"/>
        </w:rPr>
        <w:t> та розвитку критичного мислення: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t> </w:t>
      </w:r>
      <w:r w:rsidRPr="00791E8D">
        <w:rPr>
          <w:color w:val="333333"/>
          <w:sz w:val="28"/>
          <w:szCs w:val="28"/>
        </w:rPr>
        <w:br/>
      </w:r>
      <w:r w:rsidRPr="00791E8D">
        <w:rPr>
          <w:b/>
          <w:bCs/>
          <w:color w:val="383838"/>
          <w:sz w:val="28"/>
          <w:szCs w:val="28"/>
        </w:rPr>
        <w:t> «</w:t>
      </w:r>
      <w:proofErr w:type="spellStart"/>
      <w:r w:rsidRPr="00791E8D">
        <w:rPr>
          <w:b/>
          <w:bCs/>
          <w:color w:val="383838"/>
          <w:sz w:val="28"/>
          <w:szCs w:val="28"/>
        </w:rPr>
        <w:t>Tell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me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what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you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do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know</w:t>
      </w:r>
      <w:proofErr w:type="spellEnd"/>
      <w:r w:rsidRPr="00791E8D">
        <w:rPr>
          <w:b/>
          <w:bCs/>
          <w:color w:val="383838"/>
          <w:sz w:val="28"/>
          <w:szCs w:val="28"/>
        </w:rPr>
        <w:t>»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t>Замість того, щоб фокусуватися на тому, чого учень не знає, </w:t>
      </w:r>
      <w:r w:rsidRPr="00791E8D">
        <w:rPr>
          <w:b/>
          <w:bCs/>
          <w:color w:val="383838"/>
          <w:sz w:val="28"/>
          <w:szCs w:val="28"/>
        </w:rPr>
        <w:t>спрямуйте його увагу на те, що він вже знає</w:t>
      </w:r>
      <w:r w:rsidRPr="00791E8D">
        <w:rPr>
          <w:color w:val="333333"/>
          <w:sz w:val="28"/>
          <w:szCs w:val="28"/>
        </w:rPr>
        <w:t>. Це допоможе йому відчути себе впевненіше і знайти зв'язки між відомим і невідомим. Якщо учень не знає, як описати свої вихідні, запитайте: "</w:t>
      </w:r>
      <w:proofErr w:type="spellStart"/>
      <w:r w:rsidRPr="00791E8D">
        <w:rPr>
          <w:color w:val="333333"/>
          <w:sz w:val="28"/>
          <w:szCs w:val="28"/>
        </w:rPr>
        <w:t>Tell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me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what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you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usually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do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at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weekends</w:t>
      </w:r>
      <w:proofErr w:type="spellEnd"/>
      <w:r w:rsidRPr="00791E8D">
        <w:rPr>
          <w:color w:val="333333"/>
          <w:sz w:val="28"/>
          <w:szCs w:val="28"/>
        </w:rPr>
        <w:t xml:space="preserve">. </w:t>
      </w:r>
      <w:proofErr w:type="spellStart"/>
      <w:r w:rsidRPr="00791E8D">
        <w:rPr>
          <w:color w:val="333333"/>
          <w:sz w:val="28"/>
          <w:szCs w:val="28"/>
        </w:rPr>
        <w:t>What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activities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do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you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enjoy</w:t>
      </w:r>
      <w:proofErr w:type="spellEnd"/>
      <w:r w:rsidRPr="00791E8D">
        <w:rPr>
          <w:color w:val="333333"/>
          <w:sz w:val="28"/>
          <w:szCs w:val="28"/>
        </w:rPr>
        <w:t>?"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83838"/>
          <w:sz w:val="28"/>
          <w:szCs w:val="28"/>
        </w:rPr>
      </w:pPr>
      <w:r w:rsidRPr="00791E8D">
        <w:rPr>
          <w:b/>
          <w:bCs/>
          <w:color w:val="383838"/>
          <w:sz w:val="28"/>
          <w:szCs w:val="28"/>
        </w:rPr>
        <w:t> </w:t>
      </w:r>
      <w:r w:rsidRPr="00791E8D">
        <w:rPr>
          <w:b/>
          <w:bCs/>
          <w:color w:val="383838"/>
          <w:sz w:val="28"/>
          <w:szCs w:val="28"/>
        </w:rPr>
        <w:br/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83838"/>
          <w:sz w:val="28"/>
          <w:szCs w:val="28"/>
        </w:rPr>
      </w:pP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83838"/>
          <w:sz w:val="28"/>
          <w:szCs w:val="28"/>
        </w:rPr>
      </w:pP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b/>
          <w:bCs/>
          <w:color w:val="383838"/>
          <w:sz w:val="28"/>
          <w:szCs w:val="28"/>
        </w:rPr>
        <w:t>«</w:t>
      </w:r>
      <w:proofErr w:type="spellStart"/>
      <w:r w:rsidRPr="00791E8D">
        <w:rPr>
          <w:b/>
          <w:bCs/>
          <w:color w:val="383838"/>
          <w:sz w:val="28"/>
          <w:szCs w:val="28"/>
        </w:rPr>
        <w:t>Let's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pretend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you're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an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expert</w:t>
      </w:r>
      <w:proofErr w:type="spellEnd"/>
      <w:r w:rsidRPr="00791E8D">
        <w:rPr>
          <w:b/>
          <w:bCs/>
          <w:color w:val="383838"/>
          <w:sz w:val="28"/>
          <w:szCs w:val="28"/>
        </w:rPr>
        <w:t>»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t>Ця техніка допомагає учням вийти за межі своїх знань і розвинути уяву. Запропонуйте їм</w:t>
      </w:r>
      <w:r w:rsidRPr="00791E8D">
        <w:rPr>
          <w:b/>
          <w:bCs/>
          <w:color w:val="383838"/>
          <w:sz w:val="28"/>
          <w:szCs w:val="28"/>
        </w:rPr>
        <w:t> уявити, що вони експерти в певній галузі</w:t>
      </w:r>
      <w:r w:rsidRPr="00791E8D">
        <w:rPr>
          <w:color w:val="333333"/>
          <w:sz w:val="28"/>
          <w:szCs w:val="28"/>
        </w:rPr>
        <w:t> і можуть дати відповідь на будь-яке запитання так як вважають за потрібне.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b/>
          <w:bCs/>
          <w:color w:val="383838"/>
          <w:sz w:val="28"/>
          <w:szCs w:val="28"/>
        </w:rPr>
        <w:t>Наприклад:</w:t>
      </w:r>
      <w:r w:rsidRPr="00791E8D">
        <w:rPr>
          <w:color w:val="333333"/>
          <w:sz w:val="28"/>
          <w:szCs w:val="28"/>
        </w:rPr>
        <w:t> «</w:t>
      </w:r>
      <w:proofErr w:type="spellStart"/>
      <w:r w:rsidRPr="00791E8D">
        <w:rPr>
          <w:color w:val="333333"/>
          <w:sz w:val="28"/>
          <w:szCs w:val="28"/>
        </w:rPr>
        <w:t>Imagine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you're</w:t>
      </w:r>
      <w:proofErr w:type="spellEnd"/>
      <w:r w:rsidRPr="00791E8D">
        <w:rPr>
          <w:color w:val="333333"/>
          <w:sz w:val="28"/>
          <w:szCs w:val="28"/>
        </w:rPr>
        <w:t xml:space="preserve"> a </w:t>
      </w:r>
      <w:proofErr w:type="spellStart"/>
      <w:r w:rsidRPr="00791E8D">
        <w:rPr>
          <w:color w:val="333333"/>
          <w:sz w:val="28"/>
          <w:szCs w:val="28"/>
        </w:rPr>
        <w:t>famous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scientist</w:t>
      </w:r>
      <w:proofErr w:type="spellEnd"/>
      <w:r w:rsidRPr="00791E8D">
        <w:rPr>
          <w:color w:val="333333"/>
          <w:sz w:val="28"/>
          <w:szCs w:val="28"/>
        </w:rPr>
        <w:t xml:space="preserve">. </w:t>
      </w:r>
      <w:proofErr w:type="spellStart"/>
      <w:r w:rsidRPr="00791E8D">
        <w:rPr>
          <w:color w:val="333333"/>
          <w:sz w:val="28"/>
          <w:szCs w:val="28"/>
        </w:rPr>
        <w:t>How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would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you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explain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the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concept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of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gravity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to</w:t>
      </w:r>
      <w:proofErr w:type="spellEnd"/>
      <w:r w:rsidRPr="00791E8D">
        <w:rPr>
          <w:color w:val="333333"/>
          <w:sz w:val="28"/>
          <w:szCs w:val="28"/>
        </w:rPr>
        <w:t xml:space="preserve"> a </w:t>
      </w:r>
      <w:proofErr w:type="spellStart"/>
      <w:r w:rsidRPr="00791E8D">
        <w:rPr>
          <w:color w:val="333333"/>
          <w:sz w:val="28"/>
          <w:szCs w:val="28"/>
        </w:rPr>
        <w:t>child</w:t>
      </w:r>
      <w:proofErr w:type="spellEnd"/>
      <w:r w:rsidRPr="00791E8D">
        <w:rPr>
          <w:color w:val="333333"/>
          <w:sz w:val="28"/>
          <w:szCs w:val="28"/>
        </w:rPr>
        <w:t>?»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b/>
          <w:bCs/>
          <w:color w:val="383838"/>
          <w:sz w:val="28"/>
          <w:szCs w:val="28"/>
        </w:rPr>
        <w:br/>
        <w:t>«</w:t>
      </w:r>
      <w:proofErr w:type="spellStart"/>
      <w:r w:rsidRPr="00791E8D">
        <w:rPr>
          <w:b/>
          <w:bCs/>
          <w:color w:val="383838"/>
          <w:sz w:val="28"/>
          <w:szCs w:val="28"/>
        </w:rPr>
        <w:t>Let's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Explore</w:t>
      </w:r>
      <w:proofErr w:type="spellEnd"/>
      <w:r w:rsidRPr="00791E8D">
        <w:rPr>
          <w:b/>
          <w:bCs/>
          <w:color w:val="383838"/>
          <w:sz w:val="28"/>
          <w:szCs w:val="28"/>
        </w:rPr>
        <w:t xml:space="preserve"> </w:t>
      </w:r>
      <w:proofErr w:type="spellStart"/>
      <w:r w:rsidRPr="00791E8D">
        <w:rPr>
          <w:b/>
          <w:bCs/>
          <w:color w:val="383838"/>
          <w:sz w:val="28"/>
          <w:szCs w:val="28"/>
        </w:rPr>
        <w:t>Together</w:t>
      </w:r>
      <w:proofErr w:type="spellEnd"/>
      <w:r w:rsidRPr="00791E8D">
        <w:rPr>
          <w:b/>
          <w:bCs/>
          <w:color w:val="383838"/>
          <w:sz w:val="28"/>
          <w:szCs w:val="28"/>
        </w:rPr>
        <w:t>»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color w:val="333333"/>
          <w:sz w:val="28"/>
          <w:szCs w:val="28"/>
        </w:rPr>
        <w:t>Замість того, щоб фокусуватися на відсутності знань, </w:t>
      </w:r>
      <w:r w:rsidRPr="00791E8D">
        <w:rPr>
          <w:b/>
          <w:bCs/>
          <w:color w:val="383838"/>
          <w:sz w:val="28"/>
          <w:szCs w:val="28"/>
        </w:rPr>
        <w:t>запропонуйте учню спільне дослідження</w:t>
      </w:r>
      <w:r w:rsidRPr="00791E8D">
        <w:rPr>
          <w:color w:val="333333"/>
          <w:sz w:val="28"/>
          <w:szCs w:val="28"/>
        </w:rPr>
        <w:t>. Цей підхід демонструє, що не знати – це нормально, і що навчання – це процес відкриття. Він заохочує учнів до активного пошуку інформації.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b/>
          <w:bCs/>
          <w:color w:val="383838"/>
          <w:sz w:val="28"/>
          <w:szCs w:val="28"/>
        </w:rPr>
        <w:t>Наприклад:</w:t>
      </w:r>
      <w:r w:rsidRPr="00791E8D">
        <w:rPr>
          <w:color w:val="333333"/>
          <w:sz w:val="28"/>
          <w:szCs w:val="28"/>
        </w:rPr>
        <w:t> "</w:t>
      </w:r>
      <w:proofErr w:type="spellStart"/>
      <w:r w:rsidRPr="00791E8D">
        <w:rPr>
          <w:color w:val="333333"/>
          <w:sz w:val="28"/>
          <w:szCs w:val="28"/>
        </w:rPr>
        <w:t>That's</w:t>
      </w:r>
      <w:proofErr w:type="spellEnd"/>
      <w:r w:rsidRPr="00791E8D">
        <w:rPr>
          <w:color w:val="333333"/>
          <w:sz w:val="28"/>
          <w:szCs w:val="28"/>
        </w:rPr>
        <w:t xml:space="preserve"> a </w:t>
      </w:r>
      <w:proofErr w:type="spellStart"/>
      <w:r w:rsidRPr="00791E8D">
        <w:rPr>
          <w:color w:val="333333"/>
          <w:sz w:val="28"/>
          <w:szCs w:val="28"/>
        </w:rPr>
        <w:t>great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question</w:t>
      </w:r>
      <w:proofErr w:type="spellEnd"/>
      <w:r w:rsidRPr="00791E8D">
        <w:rPr>
          <w:color w:val="333333"/>
          <w:sz w:val="28"/>
          <w:szCs w:val="28"/>
        </w:rPr>
        <w:t xml:space="preserve">! </w:t>
      </w:r>
      <w:proofErr w:type="spellStart"/>
      <w:r w:rsidRPr="00791E8D">
        <w:rPr>
          <w:color w:val="333333"/>
          <w:sz w:val="28"/>
          <w:szCs w:val="28"/>
        </w:rPr>
        <w:t>We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don't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know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the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answer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yet</w:t>
      </w:r>
      <w:proofErr w:type="spellEnd"/>
      <w:r w:rsidRPr="00791E8D">
        <w:rPr>
          <w:color w:val="333333"/>
          <w:sz w:val="28"/>
          <w:szCs w:val="28"/>
        </w:rPr>
        <w:t xml:space="preserve">, </w:t>
      </w:r>
      <w:proofErr w:type="spellStart"/>
      <w:r w:rsidRPr="00791E8D">
        <w:rPr>
          <w:color w:val="333333"/>
          <w:sz w:val="28"/>
          <w:szCs w:val="28"/>
        </w:rPr>
        <w:t>but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let's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explore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it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together</w:t>
      </w:r>
      <w:proofErr w:type="spellEnd"/>
      <w:r w:rsidRPr="00791E8D">
        <w:rPr>
          <w:color w:val="333333"/>
          <w:sz w:val="28"/>
          <w:szCs w:val="28"/>
        </w:rPr>
        <w:t xml:space="preserve">. </w:t>
      </w:r>
      <w:proofErr w:type="spellStart"/>
      <w:r w:rsidRPr="00791E8D">
        <w:rPr>
          <w:color w:val="333333"/>
          <w:sz w:val="28"/>
          <w:szCs w:val="28"/>
        </w:rPr>
        <w:t>What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do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you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think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we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could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do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to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find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out</w:t>
      </w:r>
      <w:proofErr w:type="spellEnd"/>
      <w:r w:rsidRPr="00791E8D">
        <w:rPr>
          <w:color w:val="333333"/>
          <w:sz w:val="28"/>
          <w:szCs w:val="28"/>
        </w:rPr>
        <w:t>?"   </w:t>
      </w:r>
    </w:p>
    <w:p w:rsidR="00180FDF" w:rsidRPr="00791E8D" w:rsidRDefault="00180FDF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91E8D">
        <w:rPr>
          <w:b/>
          <w:bCs/>
          <w:color w:val="383838"/>
          <w:sz w:val="28"/>
          <w:szCs w:val="28"/>
        </w:rPr>
        <w:br/>
        <w:t>Створіть банк фраз,</w:t>
      </w:r>
      <w:r w:rsidRPr="00791E8D">
        <w:rPr>
          <w:color w:val="333333"/>
          <w:sz w:val="28"/>
          <w:szCs w:val="28"/>
        </w:rPr>
        <w:t> якими учні можуть скористатися, коли потребують додаткового часу, щоб зібратися з думками. Допоможіть учням </w:t>
      </w:r>
      <w:r w:rsidRPr="00791E8D">
        <w:rPr>
          <w:b/>
          <w:bCs/>
          <w:color w:val="383838"/>
          <w:sz w:val="28"/>
          <w:szCs w:val="28"/>
        </w:rPr>
        <w:t>запам'ятати ключові фрази</w:t>
      </w:r>
      <w:r w:rsidRPr="00791E8D">
        <w:rPr>
          <w:color w:val="333333"/>
          <w:sz w:val="28"/>
          <w:szCs w:val="28"/>
        </w:rPr>
        <w:t> для вираження невідомості, наприклад, "</w:t>
      </w:r>
      <w:proofErr w:type="spellStart"/>
      <w:r w:rsidRPr="00791E8D">
        <w:rPr>
          <w:color w:val="333333"/>
          <w:sz w:val="28"/>
          <w:szCs w:val="28"/>
        </w:rPr>
        <w:t>I'm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not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sure</w:t>
      </w:r>
      <w:proofErr w:type="spellEnd"/>
      <w:r w:rsidRPr="00791E8D">
        <w:rPr>
          <w:color w:val="333333"/>
          <w:sz w:val="28"/>
          <w:szCs w:val="28"/>
        </w:rPr>
        <w:t>", "</w:t>
      </w:r>
      <w:proofErr w:type="spellStart"/>
      <w:r w:rsidRPr="00791E8D">
        <w:rPr>
          <w:color w:val="333333"/>
          <w:sz w:val="28"/>
          <w:szCs w:val="28"/>
        </w:rPr>
        <w:t>That’s</w:t>
      </w:r>
      <w:proofErr w:type="spellEnd"/>
      <w:r w:rsidRPr="00791E8D">
        <w:rPr>
          <w:color w:val="333333"/>
          <w:sz w:val="28"/>
          <w:szCs w:val="28"/>
        </w:rPr>
        <w:t xml:space="preserve"> a </w:t>
      </w:r>
      <w:proofErr w:type="spellStart"/>
      <w:r w:rsidRPr="00791E8D">
        <w:rPr>
          <w:color w:val="333333"/>
          <w:sz w:val="28"/>
          <w:szCs w:val="28"/>
        </w:rPr>
        <w:t>big</w:t>
      </w:r>
      <w:proofErr w:type="spellEnd"/>
      <w:r w:rsidRPr="00791E8D">
        <w:rPr>
          <w:color w:val="333333"/>
          <w:sz w:val="28"/>
          <w:szCs w:val="28"/>
        </w:rPr>
        <w:t xml:space="preserve"> </w:t>
      </w:r>
      <w:proofErr w:type="spellStart"/>
      <w:r w:rsidRPr="00791E8D">
        <w:rPr>
          <w:color w:val="333333"/>
          <w:sz w:val="28"/>
          <w:szCs w:val="28"/>
        </w:rPr>
        <w:t>question</w:t>
      </w:r>
      <w:proofErr w:type="spellEnd"/>
      <w:r w:rsidRPr="00791E8D">
        <w:rPr>
          <w:color w:val="333333"/>
          <w:sz w:val="28"/>
          <w:szCs w:val="28"/>
        </w:rPr>
        <w:t>"</w:t>
      </w:r>
    </w:p>
    <w:p w:rsidR="00791E8D" w:rsidRPr="00791E8D" w:rsidRDefault="00791E8D" w:rsidP="00180FDF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370D82" w:rsidRPr="00791E8D" w:rsidRDefault="00791E8D">
      <w:pPr>
        <w:rPr>
          <w:rFonts w:ascii="Times New Roman" w:hAnsi="Times New Roman" w:cs="Times New Roman"/>
          <w:sz w:val="28"/>
          <w:szCs w:val="28"/>
        </w:rPr>
      </w:pPr>
      <w:r w:rsidRPr="00791E8D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 xml:space="preserve">Щоб відучити учнів казати "I </w:t>
      </w:r>
      <w:proofErr w:type="spellStart"/>
      <w:r w:rsidRPr="00791E8D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don't</w:t>
      </w:r>
      <w:proofErr w:type="spellEnd"/>
      <w:r w:rsidRPr="00791E8D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 xml:space="preserve"> </w:t>
      </w:r>
      <w:proofErr w:type="spellStart"/>
      <w:r w:rsidRPr="00791E8D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know</w:t>
      </w:r>
      <w:proofErr w:type="spellEnd"/>
      <w:r w:rsidRPr="00791E8D">
        <w:rPr>
          <w:rFonts w:ascii="Times New Roman" w:hAnsi="Times New Roman" w:cs="Times New Roman"/>
          <w:color w:val="001D35"/>
          <w:sz w:val="28"/>
          <w:szCs w:val="28"/>
          <w:shd w:val="clear" w:color="auto" w:fill="FFFFFF"/>
        </w:rPr>
        <w:t>", важливо створити в класі атмосферу, де помилки сприймаються як частина навчання, а не як привід для сорому. Необхідно заохочувати учнів до активного мислення, пропонувати різні стратегії для пошуку відповідей і наголошувати на важливості спроб, навіть якщо вони не завжди вдалі.</w:t>
      </w:r>
    </w:p>
    <w:sectPr w:rsidR="00370D82" w:rsidRPr="00791E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413"/>
    <w:rsid w:val="00180FDF"/>
    <w:rsid w:val="00370D82"/>
    <w:rsid w:val="00791E8D"/>
    <w:rsid w:val="00B4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2258</Words>
  <Characters>1288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Cофія Лозинська</dc:creator>
  <cp:keywords/>
  <dc:description/>
  <cp:lastModifiedBy>Cофія Лозинська</cp:lastModifiedBy>
  <cp:revision>2</cp:revision>
  <dcterms:created xsi:type="dcterms:W3CDTF">2025-07-16T15:19:00Z</dcterms:created>
  <dcterms:modified xsi:type="dcterms:W3CDTF">2025-07-16T15:34:00Z</dcterms:modified>
</cp:coreProperties>
</file>