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DAE" w:rsidRPr="00B56DAE" w:rsidRDefault="00787C3E" w:rsidP="00B56DAE">
      <w:pPr>
        <w:spacing w:after="0"/>
        <w:ind w:firstLine="709"/>
        <w:jc w:val="right"/>
        <w:rPr>
          <w:b/>
          <w:color w:val="000000"/>
        </w:rPr>
      </w:pPr>
      <w:proofErr w:type="spellStart"/>
      <w:r w:rsidRPr="00B56DAE">
        <w:rPr>
          <w:b/>
          <w:color w:val="000000"/>
        </w:rPr>
        <w:t>Зайченко</w:t>
      </w:r>
      <w:proofErr w:type="spellEnd"/>
      <w:r w:rsidRPr="00B56DAE">
        <w:rPr>
          <w:b/>
          <w:color w:val="000000"/>
        </w:rPr>
        <w:t xml:space="preserve"> А</w:t>
      </w:r>
      <w:r w:rsidR="00B56DAE" w:rsidRPr="00B56DAE">
        <w:rPr>
          <w:b/>
          <w:color w:val="000000"/>
        </w:rPr>
        <w:t>.</w:t>
      </w:r>
      <w:r w:rsidRPr="00B56DAE">
        <w:rPr>
          <w:b/>
          <w:color w:val="000000"/>
        </w:rPr>
        <w:t>О</w:t>
      </w:r>
      <w:r w:rsidR="00B56DAE" w:rsidRPr="00B56DAE">
        <w:rPr>
          <w:b/>
          <w:color w:val="000000"/>
        </w:rPr>
        <w:t>.</w:t>
      </w:r>
      <w:r w:rsidRPr="00B56DAE">
        <w:rPr>
          <w:b/>
          <w:color w:val="000000"/>
        </w:rPr>
        <w:t xml:space="preserve"> </w:t>
      </w:r>
    </w:p>
    <w:p w:rsidR="00B56DAE" w:rsidRPr="00B56DAE" w:rsidRDefault="00787C3E" w:rsidP="00B56DAE">
      <w:pPr>
        <w:spacing w:after="0"/>
        <w:ind w:firstLine="709"/>
        <w:jc w:val="right"/>
        <w:rPr>
          <w:b/>
          <w:color w:val="000000"/>
        </w:rPr>
      </w:pPr>
      <w:r w:rsidRPr="00B56DAE">
        <w:rPr>
          <w:b/>
          <w:color w:val="000000"/>
        </w:rPr>
        <w:t>вчител</w:t>
      </w:r>
      <w:r w:rsidR="00B56DAE">
        <w:rPr>
          <w:b/>
          <w:color w:val="000000"/>
        </w:rPr>
        <w:t>ь</w:t>
      </w:r>
      <w:r w:rsidRPr="00B56DAE">
        <w:rPr>
          <w:b/>
          <w:color w:val="000000"/>
        </w:rPr>
        <w:t xml:space="preserve"> інформатики комунального закладу</w:t>
      </w:r>
    </w:p>
    <w:p w:rsidR="00144835" w:rsidRPr="00B56DAE" w:rsidRDefault="00787C3E" w:rsidP="00B56DAE">
      <w:pPr>
        <w:spacing w:after="0"/>
        <w:ind w:firstLine="709"/>
        <w:jc w:val="right"/>
        <w:rPr>
          <w:b/>
          <w:color w:val="000000"/>
        </w:rPr>
      </w:pPr>
      <w:r w:rsidRPr="00B56DAE">
        <w:rPr>
          <w:b/>
          <w:color w:val="000000"/>
        </w:rPr>
        <w:t xml:space="preserve">«Харківський ліцей №112 Харківської міської ради»  </w:t>
      </w:r>
    </w:p>
    <w:p w:rsidR="00B56DAE" w:rsidRDefault="00B56DAE" w:rsidP="00B56DAE">
      <w:pPr>
        <w:spacing w:after="0"/>
        <w:ind w:firstLine="709"/>
        <w:jc w:val="right"/>
        <w:rPr>
          <w:color w:val="000000"/>
        </w:rPr>
      </w:pPr>
    </w:p>
    <w:p w:rsidR="00B56DAE" w:rsidRDefault="00B56DAE">
      <w:pPr>
        <w:spacing w:after="0"/>
        <w:ind w:firstLine="709"/>
        <w:jc w:val="center"/>
        <w:rPr>
          <w:color w:val="000000"/>
        </w:rPr>
      </w:pPr>
      <w:r w:rsidRPr="00B56DAE">
        <w:rPr>
          <w:color w:val="000000"/>
        </w:rPr>
        <w:t xml:space="preserve">ВИКОРИСТАННЯ ІГРОВИХ ТЕХНОЛОГІЙ ДЛЯ НАДОЛУЖЕННЯ ОСВІТНІХ ВТРАТ </w:t>
      </w:r>
    </w:p>
    <w:p w:rsidR="00144835" w:rsidRPr="00B56DAE" w:rsidRDefault="00144835">
      <w:pPr>
        <w:spacing w:after="0"/>
        <w:ind w:firstLine="709"/>
        <w:jc w:val="center"/>
        <w:rPr>
          <w:color w:val="000000"/>
        </w:rPr>
      </w:pPr>
    </w:p>
    <w:p w:rsidR="007E1B23" w:rsidRDefault="00787C3E" w:rsidP="00B56DAE">
      <w:pPr>
        <w:shd w:val="clear" w:color="auto" w:fill="FFFFFF"/>
        <w:spacing w:after="0" w:line="360" w:lineRule="auto"/>
        <w:ind w:firstLine="567"/>
        <w:jc w:val="both"/>
      </w:pPr>
      <w:r>
        <w:rPr>
          <w:b/>
          <w:color w:val="000000"/>
        </w:rPr>
        <w:t xml:space="preserve">Обгрунтування </w:t>
      </w:r>
      <w:r w:rsidR="00B56DAE">
        <w:rPr>
          <w:b/>
          <w:color w:val="000000"/>
        </w:rPr>
        <w:t>шляху вирішення проблеми</w:t>
      </w:r>
      <w:r>
        <w:rPr>
          <w:color w:val="000000"/>
        </w:rPr>
        <w:t xml:space="preserve">. Експерти у галузі освіти розглядають участь учителів у компенсуванні освітніх втрат як ключовий чинник вирішення проблеми, яка спричинена новими умовами навчання. </w:t>
      </w:r>
      <w:r>
        <w:t>Факторів, які зумовили освітні втрати, досить багато – матеріальні, побутові, соціальні, пс</w:t>
      </w:r>
      <w:r>
        <w:t xml:space="preserve">ихологічні, економічні та інші. </w:t>
      </w:r>
      <w:r w:rsidR="00CD76B4">
        <w:t>«</w:t>
      </w:r>
      <w:r>
        <w:rPr>
          <w:color w:val="000000"/>
        </w:rPr>
        <w:t xml:space="preserve">У цьому розрізі </w:t>
      </w:r>
      <w:r>
        <w:t>вчителі інформатики є найбільш підготовленими до змін, які відбулися в організації навчання учнів, вони навіть виступають наставниками для своїх колег в оволодіванні сучасними цифровими технологіями для орган</w:t>
      </w:r>
      <w:r>
        <w:t>ізації дистанційного чи змішаного навчання</w:t>
      </w:r>
      <w:r w:rsidR="00CD76B4">
        <w:t xml:space="preserve"> [3. С. 148]</w:t>
      </w:r>
      <w:r>
        <w:t xml:space="preserve">. </w:t>
      </w:r>
    </w:p>
    <w:p w:rsidR="00CD76B4" w:rsidRDefault="00787C3E" w:rsidP="00B56DAE">
      <w:pPr>
        <w:shd w:val="clear" w:color="auto" w:fill="FFFFFF"/>
        <w:spacing w:after="0" w:line="360" w:lineRule="auto"/>
        <w:ind w:firstLine="567"/>
        <w:jc w:val="both"/>
      </w:pPr>
      <w:r>
        <w:t>За результатами моніторингу дистанційної освіти в Україні зроблено висновок, що «компенсація втрат у навчальному часі (пропущені навчальні заняття) найчастіше відбувається через надання учням навчальних матеріалі</w:t>
      </w:r>
      <w:r>
        <w:t>в (презентація, відео, аналогічні навчальні заняття онлайн) та завдань для самостійного опрацювання. Рідше вчителі проводять групові та індивідуальні консультації, додаткові навчальні заняття»</w:t>
      </w:r>
      <w:r w:rsidR="00B56DAE">
        <w:t xml:space="preserve"> [</w:t>
      </w:r>
      <w:r w:rsidR="00CD76B4">
        <w:t>4</w:t>
      </w:r>
      <w:r w:rsidR="00B56DAE">
        <w:t>]</w:t>
      </w:r>
      <w:r>
        <w:t xml:space="preserve">. </w:t>
      </w:r>
      <w:r>
        <w:t>Що робити з навчальними втратами, які виникли через проблеми з доступом до інтернету, відключеннями електроенергії вдома та в школі, повітряними тривогами під час уроків. На це питання шукають відповіді вчителі, експерти і не знаходять</w:t>
      </w:r>
      <w:r>
        <w:t xml:space="preserve"> єдиного універсального рецепта, а вирішувати його необхідно, оскільки навчальні втрати мають кумулятивний ефект, тенденцію накопичення у разі відсутності заходів щодо їх подолання.</w:t>
      </w:r>
    </w:p>
    <w:p w:rsidR="00CD76B4" w:rsidRDefault="00787C3E" w:rsidP="00B56DAE">
      <w:pPr>
        <w:shd w:val="clear" w:color="auto" w:fill="FFFFFF"/>
        <w:spacing w:after="0" w:line="360" w:lineRule="auto"/>
        <w:ind w:firstLine="567"/>
        <w:jc w:val="both"/>
      </w:pPr>
      <w:r>
        <w:t>Ідеальної стратегії компенсування навчальних втрат не існує, кожна має сво</w:t>
      </w:r>
      <w:r>
        <w:t xml:space="preserve">ї переваги і недоліки. «Український інститут розвитку освіти» пропонує такі майнстрими подолання навчальних втрат, розривів та прогалин у навчанні як </w:t>
      </w:r>
      <w:r>
        <w:lastRenderedPageBreak/>
        <w:t>надолуження, поєднання, корегування, що дозволять реалізувати учням і дорослим життєві сценарії самоосвіти</w:t>
      </w:r>
      <w:r>
        <w:t>»</w:t>
      </w:r>
      <w:r w:rsidR="00B56DAE">
        <w:t xml:space="preserve"> [</w:t>
      </w:r>
      <w:r w:rsidR="00CD76B4">
        <w:t xml:space="preserve">5. </w:t>
      </w:r>
      <w:r w:rsidR="00CD76B4" w:rsidRPr="00B56DAE">
        <w:rPr>
          <w:rFonts w:eastAsiaTheme="minorHAnsi"/>
          <w:lang w:eastAsia="en-US"/>
        </w:rPr>
        <w:t>с.7</w:t>
      </w:r>
      <w:r w:rsidR="00B56DAE">
        <w:t xml:space="preserve">] </w:t>
      </w:r>
    </w:p>
    <w:p w:rsidR="00144835" w:rsidRDefault="00CD76B4" w:rsidP="00B56DAE">
      <w:pPr>
        <w:shd w:val="clear" w:color="auto" w:fill="FFFFFF"/>
        <w:spacing w:after="0" w:line="360" w:lineRule="auto"/>
        <w:ind w:firstLine="567"/>
        <w:jc w:val="both"/>
      </w:pPr>
      <w:r>
        <w:t>З інформатики перш за все навчальні втрати пов’язані із зниженням мотивації учнів</w:t>
      </w:r>
      <w:r w:rsidR="007E1B23">
        <w:t>.</w:t>
      </w:r>
      <w:r>
        <w:t xml:space="preserve"> </w:t>
      </w:r>
      <w:r w:rsidR="00787C3E">
        <w:t xml:space="preserve">Відомі прийоми підвищення мотивації – це цікаві аналогії, парадоксальні факти, здивування, змагання, квести з допомогою </w:t>
      </w:r>
      <w:proofErr w:type="spellStart"/>
      <w:r w:rsidR="00787C3E">
        <w:t>Classtime</w:t>
      </w:r>
      <w:proofErr w:type="spellEnd"/>
      <w:r w:rsidR="00787C3E">
        <w:t>, постановка цілей й очікуваних результатів. При вивченні шляхів компенсування навчальних втрат, пов’язаних із зниженням мот</w:t>
      </w:r>
      <w:r w:rsidR="00787C3E">
        <w:t>ивації в учнів, заслуговують на увагу ігрові технології, які об’єднують групу методів і прийомів організації навчального процесу у формі різних ігор, що охоплюють окрему частину навчального процесу, допомагають активізувати учнівську навчальну діяльність і</w:t>
      </w:r>
      <w:r w:rsidR="00787C3E">
        <w:t xml:space="preserve"> сприяють засвоєнню навчальних елементів. </w:t>
      </w:r>
    </w:p>
    <w:p w:rsidR="007E1B23" w:rsidRDefault="00787C3E" w:rsidP="00B56DAE">
      <w:pPr>
        <w:spacing w:after="0" w:line="360" w:lineRule="auto"/>
        <w:ind w:firstLine="567"/>
        <w:jc w:val="both"/>
      </w:pPr>
      <w:r>
        <w:rPr>
          <w:b/>
        </w:rPr>
        <w:t xml:space="preserve">Ігрові технології в надолуженні навчальних втрат. </w:t>
      </w:r>
      <w:r>
        <w:t>В</w:t>
      </w:r>
      <w:r w:rsidR="007E1B23">
        <w:t xml:space="preserve">ідомо, що </w:t>
      </w:r>
      <w:r>
        <w:t>ігров</w:t>
      </w:r>
      <w:r w:rsidR="007E1B23">
        <w:t>і</w:t>
      </w:r>
      <w:r>
        <w:t xml:space="preserve"> технологій </w:t>
      </w:r>
      <w:r w:rsidR="00066A72">
        <w:t xml:space="preserve">виступають </w:t>
      </w:r>
      <w:bookmarkStart w:id="0" w:name="_GoBack"/>
      <w:bookmarkEnd w:id="0"/>
      <w:r w:rsidR="007E1B23">
        <w:t xml:space="preserve">засобом підвищення імпульсу </w:t>
      </w:r>
      <w:r>
        <w:t>мотивації дітей до навчання. Сьогодні ігрові технології стають все більш популярними в освітньому середовищі</w:t>
      </w:r>
      <w:r>
        <w:t>, особливо в навчанні інформатики. Такий підхід до компенсації навчальних дозволяє створювати навчальні сценарії, які викликають інтерес і активну участь учнів. Використовуюся ігрові технології, які допомагають учням навчатися алгоритмічному мисленню та ро</w:t>
      </w:r>
      <w:r>
        <w:t xml:space="preserve">звивати основні принципи програмування. Цей тип ігор реалізується за допомогою казок, квестів або аркадних ігор. Наприклад, під час реалізації теми уроку «Образи виконавця. Використання у </w:t>
      </w:r>
      <w:proofErr w:type="spellStart"/>
      <w:r>
        <w:t>проєкті</w:t>
      </w:r>
      <w:proofErr w:type="spellEnd"/>
      <w:r>
        <w:t xml:space="preserve"> кількох виконавців» в 5-х класах за допомогою Scratch створе</w:t>
      </w:r>
      <w:r>
        <w:t xml:space="preserve">но гру «Змійка» (Покликання: </w:t>
      </w:r>
      <w:hyperlink r:id="rId8">
        <w:r>
          <w:rPr>
            <w:color w:val="0563C1"/>
            <w:u w:val="single"/>
          </w:rPr>
          <w:t>https://scratch.mit.</w:t>
        </w:r>
        <w:r>
          <w:rPr>
            <w:color w:val="0563C1"/>
            <w:u w:val="single"/>
          </w:rPr>
          <w:t>e</w:t>
        </w:r>
        <w:r>
          <w:rPr>
            <w:color w:val="0563C1"/>
            <w:u w:val="single"/>
          </w:rPr>
          <w:t>du/projects/981014767</w:t>
        </w:r>
      </w:hyperlink>
      <w:r>
        <w:rPr>
          <w:color w:val="8783D7"/>
          <w:u w:val="single"/>
        </w:rPr>
        <w:t>)</w:t>
      </w:r>
      <w:r>
        <w:rPr>
          <w:color w:val="0563C1"/>
          <w:u w:val="single"/>
        </w:rPr>
        <w:t>.</w:t>
      </w:r>
      <w:r>
        <w:rPr>
          <w:color w:val="8783D7"/>
          <w:u w:val="single"/>
        </w:rPr>
        <w:t xml:space="preserve"> </w:t>
      </w:r>
      <w:r>
        <w:t>Цей проєкт застосовується для компенсування втрат, пов’язаних з набуттям таких компетентностей як алгоритмічне мислення,</w:t>
      </w:r>
      <w:r>
        <w:t xml:space="preserve"> цифрова грамотність. Реалізується він адаптуванням завдань до потреб кожного учня, шляхом зміни рівня  складності, терміну для самостійного опрацювання ігрового ресурсу. Саме ця особливість проєкту дозволяє окремим учням компенсувати навчальні втрати, які</w:t>
      </w:r>
      <w:r>
        <w:t xml:space="preserve"> виникають за різних причин. </w:t>
      </w:r>
    </w:p>
    <w:p w:rsidR="00144835" w:rsidRDefault="00787C3E" w:rsidP="00B56DAE">
      <w:pPr>
        <w:spacing w:after="0" w:line="360" w:lineRule="auto"/>
        <w:ind w:firstLine="567"/>
        <w:jc w:val="both"/>
      </w:pPr>
      <w:r>
        <w:t xml:space="preserve">Заслуговує на увагу така технологія, як веб-квест, що дозволяє учню інтерактивне взаємодіяти з завданнями, шукати відповіді та забезпечувати </w:t>
      </w:r>
      <w:r>
        <w:lastRenderedPageBreak/>
        <w:t xml:space="preserve">мобільно зворотний зв'язок. Будучи потужним інструментом для навчання техніки безпеки </w:t>
      </w:r>
      <w:r>
        <w:t xml:space="preserve">в комп'ютерних класах, ця технологія виступає </w:t>
      </w:r>
      <w:r>
        <w:t>засобом надолуження навчальних втрат, оскільки поєднує в собі інтерактивність, та мобільність контролю, що є важливим у відстеженні засвоєння упущеного. Веб-квести оформлюються у формі цікавих ігор</w:t>
      </w:r>
      <w:r>
        <w:t xml:space="preserve"> або пригодницьких історій, які сприяють підвищенню мотивації, їх можна легко розгорнути та використовувати на різних пристроях, таких як комп'ютери, планшети або смартфони. Вони також можуть бути доступні для використання в будь-який час та з будь-якого м</w:t>
      </w:r>
      <w:r>
        <w:t xml:space="preserve">ісця з доступом до Інтернету. Один з прикладів використання веб-квестів на уроках інформатики це перевірка техніки безпеки під час роботи за комп’ютером </w:t>
      </w:r>
      <w:hyperlink r:id="rId9">
        <w:r>
          <w:rPr>
            <w:color w:val="0563C1"/>
            <w:u w:val="single"/>
          </w:rPr>
          <w:t>ht</w:t>
        </w:r>
        <w:r>
          <w:rPr>
            <w:color w:val="0563C1"/>
            <w:u w:val="single"/>
          </w:rPr>
          <w:t>t</w:t>
        </w:r>
        <w:r>
          <w:rPr>
            <w:color w:val="0563C1"/>
            <w:u w:val="single"/>
          </w:rPr>
          <w:t>p</w:t>
        </w:r>
        <w:r>
          <w:rPr>
            <w:color w:val="0563C1"/>
            <w:u w:val="single"/>
          </w:rPr>
          <w:t>s://vseosvita.ua/webquest/pravyla-bezpechnoi-roboty-za-kompiuterom.</w:t>
        </w:r>
      </w:hyperlink>
      <w:r>
        <w:t xml:space="preserve"> </w:t>
      </w:r>
    </w:p>
    <w:p w:rsidR="00144835" w:rsidRDefault="00787C3E" w:rsidP="00B56DAE">
      <w:pPr>
        <w:spacing w:after="0" w:line="360" w:lineRule="auto"/>
        <w:ind w:firstLine="567"/>
        <w:jc w:val="both"/>
      </w:pPr>
      <w:r>
        <w:t>У 6 класах використовуються цікаві інтерактивні вправи та завдання, які виступають засобом підвищення мотивації під час компенсування таких навчальних практичних умінь, як оперування сл</w:t>
      </w:r>
      <w:r>
        <w:t xml:space="preserve">овесними, графічними, структурними, математичними та спеціальними моделями (Покликання: </w:t>
      </w:r>
      <w:hyperlink r:id="rId10">
        <w:r>
          <w:rPr>
            <w:color w:val="0563C1"/>
            <w:u w:val="single"/>
          </w:rPr>
          <w:t>https://wordwall.net/uk/resource</w:t>
        </w:r>
        <w:r>
          <w:rPr>
            <w:color w:val="0563C1"/>
            <w:u w:val="single"/>
          </w:rPr>
          <w:t>/</w:t>
        </w:r>
        <w:r>
          <w:rPr>
            <w:color w:val="0563C1"/>
            <w:u w:val="single"/>
          </w:rPr>
          <w:t>69951540</w:t>
        </w:r>
      </w:hyperlink>
      <w:r>
        <w:t xml:space="preserve">). </w:t>
      </w:r>
    </w:p>
    <w:p w:rsidR="00144835" w:rsidRDefault="00787C3E" w:rsidP="00B56DAE">
      <w:pPr>
        <w:spacing w:after="0" w:line="360" w:lineRule="auto"/>
        <w:ind w:firstLine="567"/>
        <w:jc w:val="both"/>
      </w:pPr>
      <w:r>
        <w:t>Штучний інтелект (ШІ) – це галузь комп'ютерних наук, що займає</w:t>
      </w:r>
      <w:r>
        <w:t>ться створенням систем, які допомагають виконувати завдання, що потребують людського інтелекту. Технології, медицина, фінанси, освіта та багато іншого — це місце застосування штучного інтелекту, який виконує важливу роль у розвитку сучасного суспільства. Ш</w:t>
      </w:r>
      <w:r>
        <w:t>тучний інтелект в освіті відкриває безліч можливостей для надолуження, компенсування навчальних втрат. Використовується штучний інтелект у вигляді учительського контенту для забезпечення індивідуалізації та підтримки кожного учня під час оцінювання. Викори</w:t>
      </w:r>
      <w:r>
        <w:t xml:space="preserve">стання штучного інтелекту в навчальних цілях наведено у презентації для учнів 5-х класів (Покликання: </w:t>
      </w:r>
      <w:hyperlink r:id="rId11">
        <w:r>
          <w:rPr>
            <w:color w:val="0563C1"/>
            <w:u w:val="single"/>
          </w:rPr>
          <w:t>https://w</w:t>
        </w:r>
        <w:r>
          <w:rPr>
            <w:color w:val="0563C1"/>
            <w:u w:val="single"/>
          </w:rPr>
          <w:t>w</w:t>
        </w:r>
        <w:r>
          <w:rPr>
            <w:color w:val="0563C1"/>
            <w:u w:val="single"/>
          </w:rPr>
          <w:t>w.canva.com/design.</w:t>
        </w:r>
      </w:hyperlink>
      <w:r>
        <w:t xml:space="preserve">) </w:t>
      </w:r>
      <w:r>
        <w:t xml:space="preserve">Метою компенсування навчальних втрат є надолуження умінь обирати тему на слайді та створювати зображення за допомогою штучного інтелекту </w:t>
      </w:r>
      <w:hyperlink r:id="rId12">
        <w:r>
          <w:rPr>
            <w:color w:val="0563C1"/>
            <w:u w:val="single"/>
          </w:rPr>
          <w:t>https://www.canva.com/design/DAF76evB.</w:t>
        </w:r>
      </w:hyperlink>
      <w:r>
        <w:t xml:space="preserve"> </w:t>
      </w:r>
    </w:p>
    <w:p w:rsidR="00144835" w:rsidRDefault="00787C3E" w:rsidP="00B56DAE">
      <w:pPr>
        <w:spacing w:after="0" w:line="360" w:lineRule="auto"/>
        <w:ind w:firstLine="567"/>
        <w:jc w:val="both"/>
      </w:pPr>
      <w:r>
        <w:lastRenderedPageBreak/>
        <w:t>Дієвими</w:t>
      </w:r>
      <w:r>
        <w:t xml:space="preserve"> </w:t>
      </w:r>
      <w:r>
        <w:t>для компенсування навчальних втрат є освітні ресурси Оновлена інформатика — Дія. ІТ-студі</w:t>
      </w:r>
      <w:r>
        <w:t>я (Покликання: (</w:t>
      </w:r>
      <w:hyperlink r:id="rId13">
        <w:r>
          <w:rPr>
            <w:color w:val="0563C1"/>
            <w:u w:val="single"/>
          </w:rPr>
          <w:t>https://it-osvita.diia.gov.ua/</w:t>
        </w:r>
      </w:hyperlink>
      <w:r>
        <w:t>). Це цифрові технології з інформатики для учнів та вчителів. Проєкт Міністерства цифрової трансформації України та Міністерства освіти і науки України за підтр</w:t>
      </w:r>
      <w:r>
        <w:t>имки програми EU4DigitalUA, в якому наш заклад Харківський ліцей №112 зареєстрований. Використовується ці ресурси для підтримки та розвитку творчих здібностей учнів і критичного мислення. Вони насичені ігровими елементами і застосовуються для надолуження в</w:t>
      </w:r>
      <w:r>
        <w:t xml:space="preserve">трат, пов’язаних з набуттям умінь застосовувати знання в реальних ситуаціях. Означені ігрові технології використовуються в залежності від рівня засвоєння навчального матеріалу, який виявляються за результатами підсумкового оцінювання. </w:t>
      </w:r>
    </w:p>
    <w:p w:rsidR="007E1B23" w:rsidRDefault="00787C3E" w:rsidP="00B56DAE">
      <w:pPr>
        <w:spacing w:after="0" w:line="360" w:lineRule="auto"/>
        <w:ind w:firstLine="567"/>
        <w:jc w:val="both"/>
      </w:pPr>
      <w:r>
        <w:rPr>
          <w:b/>
        </w:rPr>
        <w:t>Резюме</w:t>
      </w:r>
      <w:r>
        <w:t>. Доречним є п</w:t>
      </w:r>
      <w:r>
        <w:t xml:space="preserve">ривернення уваги вчителів до того, що постійне використання означених вище ігрових технологій та проєктів з часом призводить до пониження мотивації, оскільки вони стають стандартизованою формою навчання для учнів і перестають виконувати функцію підвищення </w:t>
      </w:r>
      <w:r>
        <w:t>мотивації у надолуженні навчальних втрат. Тому, необхідно враховувати цей фактор і дотримуватися рекомендації Українського Центру оцінювання якості освіти</w:t>
      </w:r>
      <w:r w:rsidR="00454E69">
        <w:t>,</w:t>
      </w:r>
      <w:r>
        <w:t xml:space="preserve"> що «для короткострокового втілення розробляти доступний для учнів якісний освітній контент, акцентова</w:t>
      </w:r>
      <w:r>
        <w:t>ний на темах, що потребують надолуження» і періодично змінювати ігрові технології або обирати інші шляхи компенсування навчальних втрат.</w:t>
      </w:r>
    </w:p>
    <w:p w:rsidR="00144835" w:rsidRDefault="007E1B23" w:rsidP="00B56DAE">
      <w:pPr>
        <w:spacing w:after="0" w:line="360" w:lineRule="auto"/>
        <w:ind w:firstLine="567"/>
        <w:jc w:val="both"/>
      </w:pPr>
      <w:r>
        <w:rPr>
          <w:b/>
        </w:rPr>
        <w:t xml:space="preserve">Дослідження. </w:t>
      </w:r>
      <w:r>
        <w:t xml:space="preserve">З метою виявлення сприйняття </w:t>
      </w:r>
      <w:r>
        <w:t xml:space="preserve">учнями </w:t>
      </w:r>
      <w:r>
        <w:t>ігрових технологій</w:t>
      </w:r>
      <w:r>
        <w:t>,</w:t>
      </w:r>
      <w:r>
        <w:t xml:space="preserve"> їх впливу на підвищення мотивації до навчання і виконання функції компенсування навчальних втрат проводилося опитування за такими питаннями: «Чи збуджують тебе до навчання ігрові вправи (завдання)?», «Чи подобаються тобі ігрові вправи (завдання), які пропонуються для виконання?», «Як ти вважаєш, допомагають ігрові вправи (завдання) краще засвоювати начальний матеріал?». Своє сприйняття учні позначали «так», «ні». Опитуванням охоплювалися учні 5-6 класів (48 осіб)</w:t>
      </w:r>
    </w:p>
    <w:p w:rsidR="00B56DAE" w:rsidRDefault="007E1B23" w:rsidP="00B56DAE">
      <w:pPr>
        <w:spacing w:after="0" w:line="360" w:lineRule="auto"/>
        <w:ind w:firstLine="567"/>
        <w:jc w:val="both"/>
      </w:pPr>
      <w:r>
        <w:rPr>
          <w:noProof/>
          <w:lang w:val="ru-RU"/>
        </w:rPr>
        <w:lastRenderedPageBreak/>
        <w:drawing>
          <wp:anchor distT="0" distB="0" distL="114300" distR="114300" simplePos="0" relativeHeight="251658240" behindDoc="0" locked="0" layoutInCell="1" hidden="0" allowOverlap="1" wp14:anchorId="5B534115" wp14:editId="23F4B75F">
            <wp:simplePos x="0" y="0"/>
            <wp:positionH relativeFrom="column">
              <wp:posOffset>139065</wp:posOffset>
            </wp:positionH>
            <wp:positionV relativeFrom="paragraph">
              <wp:posOffset>3810</wp:posOffset>
            </wp:positionV>
            <wp:extent cx="4076700" cy="2457450"/>
            <wp:effectExtent l="0" t="0" r="0" b="0"/>
            <wp:wrapSquare wrapText="bothSides" distT="0" distB="0" distL="114300" distR="11430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C7045E" w:rsidRPr="00454E69">
        <w:rPr>
          <w:b/>
        </w:rPr>
        <w:t>Висновок.</w:t>
      </w:r>
      <w:r w:rsidR="00C7045E">
        <w:rPr>
          <w:b/>
        </w:rPr>
        <w:t xml:space="preserve"> </w:t>
      </w:r>
      <w:r w:rsidR="00787C3E">
        <w:t>Результати опитування свідчать про те, що ігрові технології як шлях надолуження навчаль</w:t>
      </w:r>
      <w:r w:rsidR="00787C3E">
        <w:t xml:space="preserve">них втрат має місце бути. Цей шлях є </w:t>
      </w:r>
      <w:r w:rsidR="00454E69">
        <w:t>дієвим</w:t>
      </w:r>
      <w:r>
        <w:t>,</w:t>
      </w:r>
      <w:r w:rsidR="00454E69">
        <w:t xml:space="preserve"> оскільки </w:t>
      </w:r>
      <w:r w:rsidR="00787C3E">
        <w:t>100% учнів подобаються ігрові завдання, 45 учнів із 48 відчувають збудження до навчання</w:t>
      </w:r>
      <w:r w:rsidR="00787C3E">
        <w:t>, виконуючи ігрові вправи</w:t>
      </w:r>
      <w:r w:rsidR="00C7045E">
        <w:t>,</w:t>
      </w:r>
      <w:r w:rsidR="00787C3E">
        <w:t xml:space="preserve"> що свідчить про підвищення мотивації</w:t>
      </w:r>
      <w:r>
        <w:t>,</w:t>
      </w:r>
      <w:r w:rsidR="00787C3E">
        <w:t xml:space="preserve"> 38 учнів краще </w:t>
      </w:r>
      <w:r w:rsidR="00787C3E">
        <w:t xml:space="preserve">засвоюють </w:t>
      </w:r>
      <w:r w:rsidR="00787C3E">
        <w:t xml:space="preserve">навчальний матеріал, що підтверджує їх функціональну </w:t>
      </w:r>
      <w:r w:rsidR="00787C3E">
        <w:t xml:space="preserve">призначеність </w:t>
      </w:r>
      <w:r w:rsidR="00787C3E">
        <w:t xml:space="preserve">для надолуження навчальних втрат. </w:t>
      </w:r>
    </w:p>
    <w:p w:rsidR="00B56DAE" w:rsidRPr="00B56DAE" w:rsidRDefault="00B56DAE" w:rsidP="00B56DAE">
      <w:pPr>
        <w:spacing w:after="0"/>
        <w:ind w:firstLine="709"/>
        <w:jc w:val="both"/>
        <w:rPr>
          <w:rFonts w:eastAsiaTheme="minorHAnsi" w:cstheme="minorBidi"/>
          <w:szCs w:val="22"/>
          <w:lang w:eastAsia="en-US"/>
        </w:rPr>
      </w:pPr>
      <w:r w:rsidRPr="00B56DAE">
        <w:rPr>
          <w:rFonts w:eastAsiaTheme="minorHAnsi" w:cstheme="minorBidi"/>
          <w:szCs w:val="22"/>
          <w:lang w:eastAsia="en-US"/>
        </w:rPr>
        <w:t>Використані джерела:</w:t>
      </w:r>
    </w:p>
    <w:p w:rsidR="00B56DAE" w:rsidRPr="00B56DAE" w:rsidRDefault="00B56DAE" w:rsidP="007E1B23">
      <w:pPr>
        <w:numPr>
          <w:ilvl w:val="0"/>
          <w:numId w:val="1"/>
        </w:numPr>
        <w:spacing w:after="0"/>
        <w:ind w:left="567" w:hanging="283"/>
        <w:contextualSpacing/>
        <w:jc w:val="both"/>
        <w:rPr>
          <w:rFonts w:eastAsiaTheme="minorHAnsi"/>
          <w:lang w:eastAsia="en-US"/>
        </w:rPr>
      </w:pPr>
      <w:r w:rsidRPr="00B56DAE">
        <w:rPr>
          <w:rFonts w:eastAsiaTheme="minorHAnsi" w:cstheme="minorBidi"/>
          <w:lang w:eastAsia="en-US"/>
        </w:rPr>
        <w:t>Бичко Г, Терещенко В. Навчальні втрати: сутність, причини, наслідки та шляхи подолання [Електронний ресурс]: Покликання:</w:t>
      </w:r>
      <w:r w:rsidRPr="00B56DAE">
        <w:rPr>
          <w:rFonts w:eastAsiaTheme="minorHAnsi" w:cstheme="minorBidi"/>
          <w:szCs w:val="22"/>
          <w:lang w:val="ru-RU" w:eastAsia="en-US"/>
        </w:rPr>
        <w:t xml:space="preserve"> </w:t>
      </w:r>
      <w:hyperlink r:id="rId15" w:history="1">
        <w:r w:rsidRPr="00B56DAE">
          <w:rPr>
            <w:rFonts w:eastAsiaTheme="minorHAnsi" w:cstheme="minorBidi"/>
            <w:color w:val="0563C1" w:themeColor="hyperlink"/>
            <w:u w:val="single"/>
            <w:lang w:val="ru-RU" w:eastAsia="en-US"/>
          </w:rPr>
          <w:t>https</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t</w:t>
        </w:r>
        <w:r w:rsidRPr="00B56DAE">
          <w:rPr>
            <w:rFonts w:eastAsiaTheme="minorHAnsi" w:cstheme="minorBidi"/>
            <w:color w:val="0563C1" w:themeColor="hyperlink"/>
            <w:u w:val="single"/>
            <w:lang w:val="ru-RU" w:eastAsia="en-US"/>
          </w:rPr>
          <w:t>e</w:t>
        </w:r>
        <w:r w:rsidRPr="00B56DAE">
          <w:rPr>
            <w:rFonts w:eastAsiaTheme="minorHAnsi" w:cstheme="minorBidi"/>
            <w:color w:val="0563C1" w:themeColor="hyperlink"/>
            <w:u w:val="single"/>
            <w:lang w:val="ru-RU" w:eastAsia="en-US"/>
          </w:rPr>
          <w:t>stpor</w:t>
        </w:r>
        <w:r w:rsidRPr="00B56DAE">
          <w:rPr>
            <w:rFonts w:eastAsiaTheme="minorHAnsi" w:cstheme="minorBidi"/>
            <w:color w:val="0563C1" w:themeColor="hyperlink"/>
            <w:u w:val="single"/>
            <w:lang w:val="ru-RU" w:eastAsia="en-US"/>
          </w:rPr>
          <w:t>t</w:t>
        </w:r>
        <w:r w:rsidRPr="00B56DAE">
          <w:rPr>
            <w:rFonts w:eastAsiaTheme="minorHAnsi" w:cstheme="minorBidi"/>
            <w:color w:val="0563C1" w:themeColor="hyperlink"/>
            <w:u w:val="single"/>
            <w:lang w:val="ru-RU" w:eastAsia="en-US"/>
          </w:rPr>
          <w:t>al</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gov</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ua</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wp</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content</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uploads</w:t>
        </w:r>
        <w:r w:rsidRPr="00B56DAE">
          <w:rPr>
            <w:rFonts w:eastAsiaTheme="minorHAnsi" w:cstheme="minorBidi"/>
            <w:color w:val="0563C1" w:themeColor="hyperlink"/>
            <w:u w:val="single"/>
            <w:lang w:eastAsia="en-US"/>
          </w:rPr>
          <w:t>/2023/04/</w:t>
        </w:r>
        <w:r w:rsidRPr="00B56DAE">
          <w:rPr>
            <w:rFonts w:eastAsiaTheme="minorHAnsi" w:cstheme="minorBidi"/>
            <w:color w:val="0563C1" w:themeColor="hyperlink"/>
            <w:u w:val="single"/>
            <w:lang w:val="ru-RU" w:eastAsia="en-US"/>
          </w:rPr>
          <w:t>Learning</w:t>
        </w:r>
        <w:r w:rsidRPr="00B56DAE">
          <w:rPr>
            <w:rFonts w:eastAsiaTheme="minorHAnsi" w:cstheme="minorBidi"/>
            <w:color w:val="0563C1" w:themeColor="hyperlink"/>
            <w:u w:val="single"/>
            <w:lang w:eastAsia="en-US"/>
          </w:rPr>
          <w:t>-</w:t>
        </w:r>
        <w:r w:rsidRPr="00B56DAE">
          <w:rPr>
            <w:rFonts w:eastAsiaTheme="minorHAnsi" w:cstheme="minorBidi"/>
            <w:color w:val="0563C1" w:themeColor="hyperlink"/>
            <w:u w:val="single"/>
            <w:lang w:val="ru-RU" w:eastAsia="en-US"/>
          </w:rPr>
          <w:t>losses</w:t>
        </w:r>
        <w:r w:rsidRPr="00B56DAE">
          <w:rPr>
            <w:rFonts w:eastAsiaTheme="minorHAnsi" w:cstheme="minorBidi"/>
            <w:color w:val="0563C1" w:themeColor="hyperlink"/>
            <w:u w:val="single"/>
            <w:lang w:eastAsia="en-US"/>
          </w:rPr>
          <w:t>_</w:t>
        </w:r>
        <w:r w:rsidRPr="00B56DAE">
          <w:rPr>
            <w:rFonts w:eastAsiaTheme="minorHAnsi" w:cstheme="minorBidi"/>
            <w:color w:val="0563C1" w:themeColor="hyperlink"/>
            <w:u w:val="single"/>
            <w:lang w:val="ru-RU" w:eastAsia="en-US"/>
          </w:rPr>
          <w:t>Ukraine</w:t>
        </w:r>
        <w:r w:rsidRPr="00B56DAE">
          <w:rPr>
            <w:rFonts w:eastAsiaTheme="minorHAnsi" w:cstheme="minorBidi"/>
            <w:color w:val="0563C1" w:themeColor="hyperlink"/>
            <w:u w:val="single"/>
            <w:lang w:eastAsia="en-US"/>
          </w:rPr>
          <w:t>.</w:t>
        </w:r>
        <w:proofErr w:type="spellStart"/>
        <w:r w:rsidRPr="00B56DAE">
          <w:rPr>
            <w:rFonts w:eastAsiaTheme="minorHAnsi" w:cstheme="minorBidi"/>
            <w:color w:val="0563C1" w:themeColor="hyperlink"/>
            <w:u w:val="single"/>
            <w:lang w:val="ru-RU" w:eastAsia="en-US"/>
          </w:rPr>
          <w:t>pdf</w:t>
        </w:r>
        <w:proofErr w:type="spellEnd"/>
      </w:hyperlink>
      <w:r w:rsidRPr="00B56DAE">
        <w:rPr>
          <w:rFonts w:eastAsiaTheme="minorHAnsi" w:cstheme="minorBidi"/>
          <w:lang w:eastAsia="en-US"/>
        </w:rPr>
        <w:t xml:space="preserve"> </w:t>
      </w:r>
    </w:p>
    <w:p w:rsidR="00B56DAE" w:rsidRPr="00B56DAE" w:rsidRDefault="00B56DAE" w:rsidP="007E1B23">
      <w:pPr>
        <w:numPr>
          <w:ilvl w:val="0"/>
          <w:numId w:val="1"/>
        </w:numPr>
        <w:spacing w:after="0"/>
        <w:ind w:left="567" w:hanging="283"/>
        <w:contextualSpacing/>
        <w:jc w:val="both"/>
        <w:rPr>
          <w:rFonts w:eastAsiaTheme="minorHAnsi" w:cstheme="minorBidi"/>
          <w:lang w:eastAsia="en-US"/>
        </w:rPr>
      </w:pPr>
      <w:r w:rsidRPr="00B56DAE">
        <w:rPr>
          <w:rFonts w:ascii="ProximaNova" w:eastAsiaTheme="minorHAnsi" w:hAnsi="ProximaNova" w:cstheme="minorBidi"/>
          <w:color w:val="141414"/>
          <w:sz w:val="30"/>
          <w:szCs w:val="30"/>
          <w:lang w:eastAsia="en-US"/>
        </w:rPr>
        <w:t xml:space="preserve">Дьоміна Інна, </w:t>
      </w:r>
      <w:proofErr w:type="spellStart"/>
      <w:r w:rsidRPr="00B56DAE">
        <w:rPr>
          <w:rFonts w:ascii="ProximaNova" w:eastAsiaTheme="minorHAnsi" w:hAnsi="ProximaNova" w:cstheme="minorBidi"/>
          <w:color w:val="141414"/>
          <w:sz w:val="30"/>
          <w:szCs w:val="30"/>
          <w:lang w:eastAsia="en-US"/>
        </w:rPr>
        <w:t>співзасновниця</w:t>
      </w:r>
      <w:proofErr w:type="spellEnd"/>
      <w:r w:rsidRPr="00B56DAE">
        <w:rPr>
          <w:rFonts w:ascii="ProximaNova" w:eastAsiaTheme="minorHAnsi" w:hAnsi="ProximaNova" w:cstheme="minorBidi"/>
          <w:color w:val="141414"/>
          <w:sz w:val="30"/>
          <w:szCs w:val="30"/>
          <w:lang w:eastAsia="en-US"/>
        </w:rPr>
        <w:t xml:space="preserve"> школи сучасних наук </w:t>
      </w:r>
      <w:hyperlink r:id="rId16" w:tgtFrame="_blank" w:history="1">
        <w:proofErr w:type="spellStart"/>
        <w:r w:rsidRPr="00B56DAE">
          <w:rPr>
            <w:rFonts w:ascii="ProximaNova" w:eastAsiaTheme="minorHAnsi" w:hAnsi="ProximaNova" w:cstheme="minorBidi"/>
            <w:color w:val="141414"/>
            <w:sz w:val="30"/>
            <w:szCs w:val="30"/>
            <w:lang w:val="ru-RU" w:eastAsia="en-US"/>
          </w:rPr>
          <w:t>Science</w:t>
        </w:r>
        <w:proofErr w:type="spellEnd"/>
        <w:r w:rsidRPr="00B56DAE">
          <w:rPr>
            <w:rFonts w:ascii="ProximaNova" w:eastAsiaTheme="minorHAnsi" w:hAnsi="ProximaNova" w:cstheme="minorBidi"/>
            <w:color w:val="141414"/>
            <w:sz w:val="30"/>
            <w:szCs w:val="30"/>
            <w:lang w:eastAsia="en-US"/>
          </w:rPr>
          <w:t xml:space="preserve"> </w:t>
        </w:r>
        <w:proofErr w:type="spellStart"/>
        <w:r w:rsidRPr="00B56DAE">
          <w:rPr>
            <w:rFonts w:ascii="ProximaNova" w:eastAsiaTheme="minorHAnsi" w:hAnsi="ProximaNova" w:cstheme="minorBidi"/>
            <w:color w:val="141414"/>
            <w:sz w:val="30"/>
            <w:szCs w:val="30"/>
            <w:lang w:val="ru-RU" w:eastAsia="en-US"/>
          </w:rPr>
          <w:t>Gen</w:t>
        </w:r>
        <w:proofErr w:type="spellEnd"/>
      </w:hyperlink>
      <w:r w:rsidRPr="00B56DAE">
        <w:rPr>
          <w:rFonts w:ascii="ProximaNova" w:eastAsiaTheme="minorHAnsi" w:hAnsi="ProximaNova" w:cstheme="minorBidi"/>
          <w:color w:val="141414"/>
          <w:sz w:val="30"/>
          <w:szCs w:val="30"/>
          <w:lang w:eastAsia="en-US"/>
        </w:rPr>
        <w:t xml:space="preserve"> та </w:t>
      </w:r>
      <w:proofErr w:type="spellStart"/>
      <w:r w:rsidRPr="00B56DAE">
        <w:rPr>
          <w:rFonts w:ascii="ProximaNova" w:eastAsiaTheme="minorHAnsi" w:hAnsi="ProximaNova" w:cstheme="minorBidi"/>
          <w:color w:val="141414"/>
          <w:sz w:val="30"/>
          <w:szCs w:val="30"/>
          <w:lang w:eastAsia="en-US"/>
        </w:rPr>
        <w:t>співавторка</w:t>
      </w:r>
      <w:proofErr w:type="spellEnd"/>
      <w:r w:rsidRPr="00B56DAE">
        <w:rPr>
          <w:rFonts w:ascii="ProximaNova" w:eastAsiaTheme="minorHAnsi" w:hAnsi="ProximaNova" w:cstheme="minorBidi"/>
          <w:color w:val="141414"/>
          <w:sz w:val="30"/>
          <w:szCs w:val="30"/>
          <w:lang w:eastAsia="en-US"/>
        </w:rPr>
        <w:t xml:space="preserve"> одного з проектів інтегрованого курсу «</w:t>
      </w:r>
      <w:hyperlink r:id="rId17" w:history="1">
        <w:r w:rsidRPr="00B56DAE">
          <w:rPr>
            <w:rFonts w:ascii="ProximaNova" w:eastAsiaTheme="minorHAnsi" w:hAnsi="ProximaNova" w:cstheme="minorBidi"/>
            <w:color w:val="141414"/>
            <w:sz w:val="30"/>
            <w:szCs w:val="30"/>
            <w:lang w:eastAsia="en-US"/>
          </w:rPr>
          <w:t>Природничі науки</w:t>
        </w:r>
      </w:hyperlink>
      <w:r w:rsidRPr="00B56DAE">
        <w:rPr>
          <w:rFonts w:ascii="ProximaNova" w:eastAsiaTheme="minorHAnsi" w:hAnsi="ProximaNova" w:cstheme="minorBidi"/>
          <w:color w:val="141414"/>
          <w:sz w:val="30"/>
          <w:szCs w:val="30"/>
          <w:lang w:eastAsia="en-US"/>
        </w:rPr>
        <w:t xml:space="preserve">» для старшої школи </w:t>
      </w:r>
      <w:r w:rsidRPr="00B56DAE">
        <w:rPr>
          <w:rFonts w:eastAsiaTheme="minorHAnsi"/>
          <w:szCs w:val="22"/>
          <w:lang w:eastAsia="en-US"/>
        </w:rPr>
        <w:t xml:space="preserve">[Електронний ресурс] </w:t>
      </w:r>
      <w:r w:rsidRPr="00B56DAE">
        <w:rPr>
          <w:rFonts w:eastAsiaTheme="minorHAnsi" w:cstheme="minorBidi"/>
          <w:szCs w:val="22"/>
          <w:lang w:eastAsia="en-US"/>
        </w:rPr>
        <w:t xml:space="preserve">Покликання:  </w:t>
      </w:r>
    </w:p>
    <w:p w:rsidR="00B56DAE" w:rsidRPr="00B56DAE" w:rsidRDefault="00B56DAE" w:rsidP="007E1B23">
      <w:pPr>
        <w:spacing w:after="0"/>
        <w:ind w:left="567"/>
        <w:contextualSpacing/>
        <w:jc w:val="both"/>
        <w:rPr>
          <w:rFonts w:eastAsiaTheme="minorHAnsi" w:cstheme="minorBidi"/>
          <w:szCs w:val="22"/>
          <w:lang w:eastAsia="en-US"/>
        </w:rPr>
      </w:pPr>
      <w:hyperlink r:id="rId18" w:history="1">
        <w:r w:rsidRPr="00B56DAE">
          <w:rPr>
            <w:rFonts w:eastAsiaTheme="minorHAnsi" w:cstheme="minorBidi"/>
            <w:color w:val="0563C1" w:themeColor="hyperlink"/>
            <w:szCs w:val="22"/>
            <w:u w:val="single"/>
            <w:lang w:eastAsia="en-US"/>
          </w:rPr>
          <w:t>https://nus.org.ua/view/yak-navchannya-na-osnovi-igor-rozvyva-navychky-21-go-stolittya/</w:t>
        </w:r>
      </w:hyperlink>
    </w:p>
    <w:p w:rsidR="00B56DAE" w:rsidRPr="00B56DAE" w:rsidRDefault="00B56DAE" w:rsidP="007E1B23">
      <w:pPr>
        <w:numPr>
          <w:ilvl w:val="0"/>
          <w:numId w:val="1"/>
        </w:numPr>
        <w:spacing w:after="0"/>
        <w:ind w:left="567" w:hanging="283"/>
        <w:contextualSpacing/>
        <w:jc w:val="both"/>
        <w:rPr>
          <w:rFonts w:eastAsiaTheme="minorHAnsi" w:cstheme="minorBidi"/>
          <w:szCs w:val="22"/>
          <w:lang w:eastAsia="en-US"/>
        </w:rPr>
      </w:pPr>
      <w:r w:rsidRPr="00B56DAE">
        <w:rPr>
          <w:rFonts w:eastAsiaTheme="minorHAnsi" w:cstheme="minorBidi"/>
          <w:szCs w:val="22"/>
          <w:lang w:eastAsia="en-US"/>
        </w:rPr>
        <w:t xml:space="preserve">Завадський І. О., </w:t>
      </w:r>
      <w:proofErr w:type="spellStart"/>
      <w:r w:rsidRPr="00B56DAE">
        <w:rPr>
          <w:rFonts w:eastAsiaTheme="minorHAnsi" w:cstheme="minorBidi"/>
          <w:szCs w:val="22"/>
          <w:lang w:eastAsia="en-US"/>
        </w:rPr>
        <w:t>Твердохліб</w:t>
      </w:r>
      <w:proofErr w:type="spellEnd"/>
      <w:r w:rsidRPr="00B56DAE">
        <w:rPr>
          <w:rFonts w:eastAsiaTheme="minorHAnsi" w:cstheme="minorBidi"/>
          <w:szCs w:val="22"/>
          <w:lang w:eastAsia="en-US"/>
        </w:rPr>
        <w:t xml:space="preserve"> І. А Діагностика та компенсація освітніх втрат </w:t>
      </w:r>
      <w:proofErr w:type="spellStart"/>
      <w:r w:rsidRPr="00B56DAE">
        <w:rPr>
          <w:rFonts w:eastAsiaTheme="minorHAnsi" w:cstheme="minorBidi"/>
          <w:szCs w:val="22"/>
          <w:lang w:eastAsia="en-US"/>
        </w:rPr>
        <w:t>Інформатична</w:t>
      </w:r>
      <w:proofErr w:type="spellEnd"/>
      <w:r w:rsidRPr="00B56DAE">
        <w:rPr>
          <w:rFonts w:eastAsiaTheme="minorHAnsi" w:cstheme="minorBidi"/>
          <w:szCs w:val="22"/>
          <w:lang w:eastAsia="en-US"/>
        </w:rPr>
        <w:t xml:space="preserve"> освітня галузь </w:t>
      </w:r>
      <w:r w:rsidRPr="00B56DAE">
        <w:rPr>
          <w:rFonts w:eastAsiaTheme="minorHAnsi"/>
          <w:szCs w:val="22"/>
          <w:lang w:eastAsia="en-US"/>
        </w:rPr>
        <w:t xml:space="preserve">[Електронний ресурс] </w:t>
      </w:r>
      <w:r w:rsidRPr="00B56DAE">
        <w:rPr>
          <w:rFonts w:eastAsiaTheme="minorHAnsi" w:cstheme="minorBidi"/>
          <w:szCs w:val="22"/>
          <w:lang w:eastAsia="en-US"/>
        </w:rPr>
        <w:t xml:space="preserve">Покликання: </w:t>
      </w:r>
    </w:p>
    <w:p w:rsidR="00B56DAE" w:rsidRPr="00B56DAE" w:rsidRDefault="00B56DAE" w:rsidP="007E1B23">
      <w:pPr>
        <w:spacing w:after="0"/>
        <w:ind w:left="567"/>
        <w:contextualSpacing/>
        <w:jc w:val="both"/>
        <w:rPr>
          <w:rFonts w:eastAsiaTheme="minorHAnsi" w:cstheme="minorBidi"/>
          <w:szCs w:val="22"/>
          <w:lang w:eastAsia="en-US"/>
        </w:rPr>
      </w:pPr>
      <w:hyperlink r:id="rId19" w:history="1">
        <w:r w:rsidRPr="00B56DAE">
          <w:rPr>
            <w:rFonts w:eastAsiaTheme="minorHAnsi" w:cstheme="minorBidi"/>
            <w:color w:val="0563C1" w:themeColor="hyperlink"/>
            <w:szCs w:val="22"/>
            <w:u w:val="single"/>
            <w:lang w:eastAsia="en-US"/>
          </w:rPr>
          <w:t>https://lib.iitta.gov.ua/739265/1/%D0%97%D0%B0%D0%B2%D0%B0%D0%B4%D1%81%D1%8C%D0%BA%D0%B8%D0%B9_%D0%A2%D0%B2%D0%B5%D1%80%D0%B4%D0%BE%D1%85%D0%BB%D1%96%D0%B1%20Osvitni_vtraty%202023.pdf</w:t>
        </w:r>
      </w:hyperlink>
      <w:r w:rsidRPr="00B56DAE">
        <w:rPr>
          <w:rFonts w:eastAsiaTheme="minorHAnsi" w:cstheme="minorBidi"/>
          <w:szCs w:val="22"/>
          <w:lang w:eastAsia="en-US"/>
        </w:rPr>
        <w:t xml:space="preserve"> </w:t>
      </w:r>
    </w:p>
    <w:p w:rsidR="00B56DAE" w:rsidRPr="00B56DAE" w:rsidRDefault="00B56DAE" w:rsidP="007E1B23">
      <w:pPr>
        <w:numPr>
          <w:ilvl w:val="0"/>
          <w:numId w:val="1"/>
        </w:numPr>
        <w:spacing w:after="0"/>
        <w:ind w:left="567" w:hanging="283"/>
        <w:contextualSpacing/>
        <w:jc w:val="both"/>
        <w:rPr>
          <w:rFonts w:ascii="ProximaNova" w:eastAsiaTheme="minorHAnsi" w:hAnsi="ProximaNova" w:cstheme="minorBidi"/>
          <w:bCs/>
          <w:color w:val="010101"/>
          <w:sz w:val="30"/>
          <w:szCs w:val="30"/>
          <w:bdr w:val="none" w:sz="0" w:space="0" w:color="auto" w:frame="1"/>
          <w:lang w:eastAsia="en-US"/>
        </w:rPr>
      </w:pPr>
      <w:r w:rsidRPr="00B56DAE">
        <w:rPr>
          <w:rFonts w:eastAsiaTheme="minorHAnsi" w:cstheme="minorBidi"/>
          <w:iCs/>
          <w:szCs w:val="22"/>
          <w:lang w:val="ru-RU" w:eastAsia="en-US"/>
        </w:rPr>
        <w:t>М</w:t>
      </w:r>
      <w:proofErr w:type="spellStart"/>
      <w:r w:rsidRPr="00B56DAE">
        <w:rPr>
          <w:rFonts w:eastAsiaTheme="minorHAnsi" w:cstheme="minorBidi"/>
          <w:szCs w:val="22"/>
          <w:lang w:eastAsia="en-US"/>
        </w:rPr>
        <w:t>атеріали</w:t>
      </w:r>
      <w:proofErr w:type="spellEnd"/>
      <w:r w:rsidRPr="00B56DAE">
        <w:rPr>
          <w:rFonts w:eastAsiaTheme="minorHAnsi" w:cstheme="minorBidi"/>
          <w:szCs w:val="22"/>
          <w:lang w:eastAsia="en-US"/>
        </w:rPr>
        <w:t xml:space="preserve"> </w:t>
      </w:r>
      <w:hyperlink r:id="rId20" w:history="1">
        <w:r w:rsidRPr="00B56DAE">
          <w:rPr>
            <w:rFonts w:eastAsiaTheme="minorHAnsi" w:cstheme="minorBidi"/>
            <w:szCs w:val="22"/>
            <w:lang w:eastAsia="en-US"/>
          </w:rPr>
          <w:t>Державної служби якості освіти</w:t>
        </w:r>
      </w:hyperlink>
      <w:r w:rsidRPr="00B56DAE">
        <w:rPr>
          <w:rFonts w:eastAsiaTheme="minorHAnsi" w:cstheme="minorBidi"/>
          <w:szCs w:val="22"/>
          <w:lang w:eastAsia="en-US"/>
        </w:rPr>
        <w:t xml:space="preserve">. Освітні втрати: як учителю їх діагностувати та компенсувати </w:t>
      </w:r>
      <w:r w:rsidRPr="00B56DAE">
        <w:rPr>
          <w:rFonts w:eastAsiaTheme="minorHAnsi"/>
          <w:szCs w:val="22"/>
          <w:lang w:eastAsia="en-US"/>
        </w:rPr>
        <w:t xml:space="preserve">[Електронний ресурс] </w:t>
      </w:r>
      <w:r w:rsidRPr="00B56DAE">
        <w:rPr>
          <w:rFonts w:eastAsiaTheme="minorHAnsi" w:cstheme="minorBidi"/>
          <w:szCs w:val="22"/>
          <w:lang w:eastAsia="en-US"/>
        </w:rPr>
        <w:t xml:space="preserve">Покликання: </w:t>
      </w:r>
      <w:hyperlink r:id="rId21" w:history="1">
        <w:r w:rsidRPr="00B56DAE">
          <w:rPr>
            <w:rFonts w:ascii="ProximaNova" w:eastAsiaTheme="minorHAnsi" w:hAnsi="ProximaNova" w:cstheme="minorBidi"/>
            <w:color w:val="0563C1" w:themeColor="hyperlink"/>
            <w:sz w:val="30"/>
            <w:szCs w:val="30"/>
            <w:u w:val="single"/>
            <w:bdr w:val="none" w:sz="0" w:space="0" w:color="auto" w:frame="1"/>
            <w:lang w:val="ru-RU" w:eastAsia="en-US"/>
          </w:rPr>
          <w:t>https</w:t>
        </w:r>
        <w:r w:rsidRPr="00B56DAE">
          <w:rPr>
            <w:rFonts w:ascii="ProximaNova" w:eastAsiaTheme="minorHAnsi" w:hAnsi="ProximaNova" w:cstheme="minorBidi"/>
            <w:color w:val="0563C1" w:themeColor="hyperlink"/>
            <w:sz w:val="30"/>
            <w:szCs w:val="30"/>
            <w:u w:val="single"/>
            <w:bdr w:val="none" w:sz="0" w:space="0" w:color="auto" w:frame="1"/>
            <w:lang w:eastAsia="en-US"/>
          </w:rPr>
          <w:t>://</w:t>
        </w:r>
        <w:r w:rsidRPr="00B56DAE">
          <w:rPr>
            <w:rFonts w:ascii="ProximaNova" w:eastAsiaTheme="minorHAnsi" w:hAnsi="ProximaNova" w:cstheme="minorBidi"/>
            <w:color w:val="0563C1" w:themeColor="hyperlink"/>
            <w:sz w:val="30"/>
            <w:szCs w:val="30"/>
            <w:u w:val="single"/>
            <w:bdr w:val="none" w:sz="0" w:space="0" w:color="auto" w:frame="1"/>
            <w:lang w:val="ru-RU" w:eastAsia="en-US"/>
          </w:rPr>
          <w:t>osvita</w:t>
        </w:r>
        <w:r w:rsidRPr="00B56DAE">
          <w:rPr>
            <w:rFonts w:ascii="ProximaNova" w:eastAsiaTheme="minorHAnsi" w:hAnsi="ProximaNova" w:cstheme="minorBidi"/>
            <w:color w:val="0563C1" w:themeColor="hyperlink"/>
            <w:sz w:val="30"/>
            <w:szCs w:val="30"/>
            <w:u w:val="single"/>
            <w:bdr w:val="none" w:sz="0" w:space="0" w:color="auto" w:frame="1"/>
            <w:lang w:eastAsia="en-US"/>
          </w:rPr>
          <w:t>.</w:t>
        </w:r>
        <w:r w:rsidRPr="00B56DAE">
          <w:rPr>
            <w:rFonts w:ascii="ProximaNova" w:eastAsiaTheme="minorHAnsi" w:hAnsi="ProximaNova" w:cstheme="minorBidi"/>
            <w:color w:val="0563C1" w:themeColor="hyperlink"/>
            <w:sz w:val="30"/>
            <w:szCs w:val="30"/>
            <w:u w:val="single"/>
            <w:bdr w:val="none" w:sz="0" w:space="0" w:color="auto" w:frame="1"/>
            <w:lang w:val="ru-RU" w:eastAsia="en-US"/>
          </w:rPr>
          <w:t>ua</w:t>
        </w:r>
        <w:r w:rsidRPr="00B56DAE">
          <w:rPr>
            <w:rFonts w:ascii="ProximaNova" w:eastAsiaTheme="minorHAnsi" w:hAnsi="ProximaNova" w:cstheme="minorBidi"/>
            <w:color w:val="0563C1" w:themeColor="hyperlink"/>
            <w:sz w:val="30"/>
            <w:szCs w:val="30"/>
            <w:u w:val="single"/>
            <w:bdr w:val="none" w:sz="0" w:space="0" w:color="auto" w:frame="1"/>
            <w:lang w:eastAsia="en-US"/>
          </w:rPr>
          <w:t>/</w:t>
        </w:r>
        <w:r w:rsidRPr="00B56DAE">
          <w:rPr>
            <w:rFonts w:ascii="ProximaNova" w:eastAsiaTheme="minorHAnsi" w:hAnsi="ProximaNova" w:cstheme="minorBidi"/>
            <w:color w:val="0563C1" w:themeColor="hyperlink"/>
            <w:sz w:val="30"/>
            <w:szCs w:val="30"/>
            <w:u w:val="single"/>
            <w:bdr w:val="none" w:sz="0" w:space="0" w:color="auto" w:frame="1"/>
            <w:lang w:val="ru-RU" w:eastAsia="en-US"/>
          </w:rPr>
          <w:t>school</w:t>
        </w:r>
        <w:r w:rsidRPr="00B56DAE">
          <w:rPr>
            <w:rFonts w:ascii="ProximaNova" w:eastAsiaTheme="minorHAnsi" w:hAnsi="ProximaNova" w:cstheme="minorBidi"/>
            <w:color w:val="0563C1" w:themeColor="hyperlink"/>
            <w:sz w:val="30"/>
            <w:szCs w:val="30"/>
            <w:u w:val="single"/>
            <w:bdr w:val="none" w:sz="0" w:space="0" w:color="auto" w:frame="1"/>
            <w:lang w:eastAsia="en-US"/>
          </w:rPr>
          <w:t>/</w:t>
        </w:r>
        <w:r w:rsidRPr="00B56DAE">
          <w:rPr>
            <w:rFonts w:ascii="ProximaNova" w:eastAsiaTheme="minorHAnsi" w:hAnsi="ProximaNova" w:cstheme="minorBidi"/>
            <w:color w:val="0563C1" w:themeColor="hyperlink"/>
            <w:sz w:val="30"/>
            <w:szCs w:val="30"/>
            <w:u w:val="single"/>
            <w:bdr w:val="none" w:sz="0" w:space="0" w:color="auto" w:frame="1"/>
            <w:lang w:val="ru-RU" w:eastAsia="en-US"/>
          </w:rPr>
          <w:t>method</w:t>
        </w:r>
        <w:r w:rsidRPr="00B56DAE">
          <w:rPr>
            <w:rFonts w:ascii="ProximaNova" w:eastAsiaTheme="minorHAnsi" w:hAnsi="ProximaNova" w:cstheme="minorBidi"/>
            <w:color w:val="0563C1" w:themeColor="hyperlink"/>
            <w:sz w:val="30"/>
            <w:szCs w:val="30"/>
            <w:u w:val="single"/>
            <w:bdr w:val="none" w:sz="0" w:space="0" w:color="auto" w:frame="1"/>
            <w:lang w:eastAsia="en-US"/>
          </w:rPr>
          <w:t>/90113/</w:t>
        </w:r>
      </w:hyperlink>
      <w:r w:rsidRPr="00B56DAE">
        <w:rPr>
          <w:rFonts w:ascii="ProximaNova" w:eastAsiaTheme="minorHAnsi" w:hAnsi="ProximaNova" w:cstheme="minorBidi"/>
          <w:b/>
          <w:bCs/>
          <w:color w:val="010101"/>
          <w:sz w:val="30"/>
          <w:szCs w:val="30"/>
          <w:bdr w:val="none" w:sz="0" w:space="0" w:color="auto" w:frame="1"/>
          <w:lang w:eastAsia="en-US"/>
        </w:rPr>
        <w:t xml:space="preserve"> </w:t>
      </w:r>
    </w:p>
    <w:p w:rsidR="00B56DAE" w:rsidRDefault="00B56DAE" w:rsidP="007E1B23">
      <w:pPr>
        <w:numPr>
          <w:ilvl w:val="0"/>
          <w:numId w:val="1"/>
        </w:numPr>
        <w:spacing w:after="0"/>
        <w:ind w:left="567" w:hanging="283"/>
        <w:contextualSpacing/>
        <w:jc w:val="both"/>
      </w:pPr>
      <w:r w:rsidRPr="00B56DAE">
        <w:rPr>
          <w:rFonts w:eastAsiaTheme="minorHAnsi" w:cstheme="minorBidi"/>
          <w:szCs w:val="22"/>
          <w:lang w:eastAsia="en-US"/>
        </w:rPr>
        <w:t>Рекомендації слухань у Комітеті Верховної ради України  з питань освіти науки та інновацій на тему: «Освітні втрат та освітні розриви на рівні загальної середньої освіти: вимірювання та механізми подолання»</w:t>
      </w:r>
      <w:r w:rsidRPr="00B56DAE">
        <w:rPr>
          <w:rFonts w:eastAsiaTheme="minorHAnsi"/>
          <w:szCs w:val="22"/>
          <w:lang w:eastAsia="en-US"/>
        </w:rPr>
        <w:t xml:space="preserve"> [Електронний ресурс] </w:t>
      </w:r>
      <w:r w:rsidRPr="00B56DAE">
        <w:rPr>
          <w:rFonts w:eastAsiaTheme="minorHAnsi" w:cstheme="minorBidi"/>
          <w:szCs w:val="22"/>
          <w:lang w:eastAsia="en-US"/>
        </w:rPr>
        <w:t xml:space="preserve">Покликання: </w:t>
      </w:r>
      <w:hyperlink r:id="rId22" w:history="1">
        <w:r w:rsidRPr="007E1B23">
          <w:rPr>
            <w:rFonts w:eastAsiaTheme="minorHAnsi" w:cstheme="minorBidi"/>
            <w:color w:val="0563C1" w:themeColor="hyperlink"/>
            <w:szCs w:val="22"/>
            <w:u w:val="single"/>
            <w:lang w:eastAsia="en-US"/>
          </w:rPr>
          <w:t>https://kno.rada.gov.ua/uploads/documents/38605.pdf</w:t>
        </w:r>
      </w:hyperlink>
    </w:p>
    <w:sectPr w:rsidR="00B56DAE">
      <w:footerReference w:type="default" r:id="rId23"/>
      <w:pgSz w:w="11906" w:h="16838"/>
      <w:pgMar w:top="1134" w:right="567" w:bottom="1134"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C3E" w:rsidRDefault="00787C3E">
      <w:pPr>
        <w:spacing w:after="0"/>
      </w:pPr>
      <w:r>
        <w:separator/>
      </w:r>
    </w:p>
  </w:endnote>
  <w:endnote w:type="continuationSeparator" w:id="0">
    <w:p w:rsidR="00787C3E" w:rsidRDefault="00787C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ProximaNova">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835" w:rsidRDefault="00787C3E">
    <w:pPr>
      <w:pBdr>
        <w:top w:val="nil"/>
        <w:left w:val="nil"/>
        <w:bottom w:val="nil"/>
        <w:right w:val="nil"/>
        <w:between w:val="nil"/>
      </w:pBdr>
      <w:tabs>
        <w:tab w:val="center" w:pos="4677"/>
        <w:tab w:val="right" w:pos="9355"/>
      </w:tabs>
      <w:spacing w:after="0"/>
      <w:jc w:val="center"/>
      <w:rPr>
        <w:color w:val="000000"/>
      </w:rPr>
    </w:pPr>
    <w:r>
      <w:rPr>
        <w:color w:val="000000"/>
      </w:rPr>
      <w:fldChar w:fldCharType="begin"/>
    </w:r>
    <w:r>
      <w:rPr>
        <w:color w:val="000000"/>
      </w:rPr>
      <w:instrText>PAGE</w:instrText>
    </w:r>
    <w:r w:rsidR="00B56DAE">
      <w:rPr>
        <w:color w:val="000000"/>
      </w:rPr>
      <w:fldChar w:fldCharType="separate"/>
    </w:r>
    <w:r w:rsidR="00066A72">
      <w:rPr>
        <w:noProof/>
        <w:color w:val="000000"/>
      </w:rPr>
      <w:t>5</w:t>
    </w:r>
    <w:r>
      <w:rPr>
        <w:color w:val="000000"/>
      </w:rPr>
      <w:fldChar w:fldCharType="end"/>
    </w:r>
  </w:p>
  <w:p w:rsidR="00144835" w:rsidRDefault="00144835">
    <w:pPr>
      <w:pBdr>
        <w:top w:val="nil"/>
        <w:left w:val="nil"/>
        <w:bottom w:val="nil"/>
        <w:right w:val="nil"/>
        <w:between w:val="nil"/>
      </w:pBdr>
      <w:tabs>
        <w:tab w:val="center" w:pos="4677"/>
        <w:tab w:val="right" w:pos="9355"/>
      </w:tabs>
      <w:spacing w:after="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C3E" w:rsidRDefault="00787C3E">
      <w:pPr>
        <w:spacing w:after="0"/>
      </w:pPr>
      <w:r>
        <w:separator/>
      </w:r>
    </w:p>
  </w:footnote>
  <w:footnote w:type="continuationSeparator" w:id="0">
    <w:p w:rsidR="00787C3E" w:rsidRDefault="00787C3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49622A"/>
    <w:multiLevelType w:val="hybridMultilevel"/>
    <w:tmpl w:val="525AE18C"/>
    <w:lvl w:ilvl="0" w:tplc="A3661DCE">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835"/>
    <w:rsid w:val="00066A72"/>
    <w:rsid w:val="00144835"/>
    <w:rsid w:val="00454E69"/>
    <w:rsid w:val="00787C3E"/>
    <w:rsid w:val="007E1B23"/>
    <w:rsid w:val="00B56DAE"/>
    <w:rsid w:val="00C7045E"/>
    <w:rsid w:val="00CD76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8B8133-870A-4251-B13B-E086E3CF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uk-UA" w:eastAsia="ru-RU"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basedOn w:val="a0"/>
    <w:uiPriority w:val="99"/>
    <w:unhideWhenUsed/>
    <w:rsid w:val="00BC6420"/>
    <w:rPr>
      <w:color w:val="0563C1" w:themeColor="hyperlink"/>
      <w:u w:val="single"/>
    </w:rPr>
  </w:style>
  <w:style w:type="character" w:styleId="a5">
    <w:name w:val="FollowedHyperlink"/>
    <w:basedOn w:val="a0"/>
    <w:uiPriority w:val="99"/>
    <w:semiHidden/>
    <w:unhideWhenUsed/>
    <w:rsid w:val="00BC6420"/>
    <w:rPr>
      <w:color w:val="954F72" w:themeColor="followedHyperlink"/>
      <w:u w:val="single"/>
    </w:rPr>
  </w:style>
  <w:style w:type="paragraph" w:styleId="a6">
    <w:name w:val="header"/>
    <w:basedOn w:val="a"/>
    <w:link w:val="a7"/>
    <w:uiPriority w:val="99"/>
    <w:unhideWhenUsed/>
    <w:rsid w:val="00500E02"/>
    <w:pPr>
      <w:tabs>
        <w:tab w:val="center" w:pos="4677"/>
        <w:tab w:val="right" w:pos="9355"/>
      </w:tabs>
      <w:spacing w:after="0"/>
    </w:pPr>
  </w:style>
  <w:style w:type="character" w:customStyle="1" w:styleId="a7">
    <w:name w:val="Верхний колонтитул Знак"/>
    <w:basedOn w:val="a0"/>
    <w:link w:val="a6"/>
    <w:uiPriority w:val="99"/>
    <w:rsid w:val="00500E02"/>
    <w:rPr>
      <w:rFonts w:ascii="Times New Roman" w:hAnsi="Times New Roman"/>
      <w:sz w:val="28"/>
    </w:rPr>
  </w:style>
  <w:style w:type="paragraph" w:styleId="a8">
    <w:name w:val="footer"/>
    <w:basedOn w:val="a"/>
    <w:link w:val="a9"/>
    <w:uiPriority w:val="99"/>
    <w:unhideWhenUsed/>
    <w:rsid w:val="00500E02"/>
    <w:pPr>
      <w:tabs>
        <w:tab w:val="center" w:pos="4677"/>
        <w:tab w:val="right" w:pos="9355"/>
      </w:tabs>
      <w:spacing w:after="0"/>
    </w:pPr>
  </w:style>
  <w:style w:type="character" w:customStyle="1" w:styleId="a9">
    <w:name w:val="Нижний колонтитул Знак"/>
    <w:basedOn w:val="a0"/>
    <w:link w:val="a8"/>
    <w:uiPriority w:val="99"/>
    <w:rsid w:val="00500E02"/>
    <w:rPr>
      <w:rFonts w:ascii="Times New Roman" w:hAnsi="Times New Roman"/>
      <w:sz w:val="28"/>
    </w:rPr>
  </w:style>
  <w:style w:type="character" w:styleId="aa">
    <w:name w:val="Strong"/>
    <w:basedOn w:val="a0"/>
    <w:uiPriority w:val="22"/>
    <w:qFormat/>
    <w:rsid w:val="003925DF"/>
    <w:rPr>
      <w:b/>
      <w:bCs/>
    </w:rPr>
  </w:style>
  <w:style w:type="character" w:styleId="ab">
    <w:name w:val="Emphasis"/>
    <w:basedOn w:val="a0"/>
    <w:uiPriority w:val="20"/>
    <w:qFormat/>
    <w:rsid w:val="008A322B"/>
    <w:rPr>
      <w:i/>
      <w:iCs/>
    </w:rPr>
  </w:style>
  <w:style w:type="paragraph" w:styleId="ac">
    <w:name w:val="List Paragraph"/>
    <w:basedOn w:val="a"/>
    <w:uiPriority w:val="34"/>
    <w:qFormat/>
    <w:rsid w:val="00AD2787"/>
    <w:pPr>
      <w:ind w:left="720"/>
      <w:contextualSpacing/>
    </w:pPr>
  </w:style>
  <w:style w:type="character" w:customStyle="1" w:styleId="UnresolvedMention">
    <w:name w:val="Unresolved Mention"/>
    <w:basedOn w:val="a0"/>
    <w:uiPriority w:val="99"/>
    <w:semiHidden/>
    <w:unhideWhenUsed/>
    <w:rsid w:val="0053502F"/>
    <w:rPr>
      <w:color w:val="605E5C"/>
      <w:shd w:val="clear" w:color="auto" w:fill="E1DFDD"/>
    </w:r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cratch.mit.edu/projects/981014767" TargetMode="External"/><Relationship Id="rId13" Type="http://schemas.openxmlformats.org/officeDocument/2006/relationships/hyperlink" Target="https://it-osvita.diia.gov.ua/" TargetMode="External"/><Relationship Id="rId18" Type="http://schemas.openxmlformats.org/officeDocument/2006/relationships/hyperlink" Target="https://nus.org.ua/view/yak-navchannya-na-osnovi-igor-rozvyva-navychky-21-go-stolittya/" TargetMode="External"/><Relationship Id="rId3" Type="http://schemas.openxmlformats.org/officeDocument/2006/relationships/styles" Target="styles.xml"/><Relationship Id="rId21" Type="http://schemas.openxmlformats.org/officeDocument/2006/relationships/hyperlink" Target="https://osvita.ua/school/method/90113/" TargetMode="External"/><Relationship Id="rId7" Type="http://schemas.openxmlformats.org/officeDocument/2006/relationships/endnotes" Target="endnotes.xml"/><Relationship Id="rId12" Type="http://schemas.openxmlformats.org/officeDocument/2006/relationships/hyperlink" Target="https://www.canva.com/design/DAF76evBkCA/qdH5KTVCbaATfD0ZzX_4-w/edit?utm_content=DAF76evBkCA&amp;utm_campaign=designshare&amp;utm_medium=link2&amp;utm_source=sharebutton" TargetMode="External"/><Relationship Id="rId17" Type="http://schemas.openxmlformats.org/officeDocument/2006/relationships/hyperlink" Target="https://nus.org.ua/articles/navishho-ukrayinskij-shkoli-integrovanyj-kurs-z-pryrodnychyh-na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iencegen.com.ua/" TargetMode="External"/><Relationship Id="rId20" Type="http://schemas.openxmlformats.org/officeDocument/2006/relationships/hyperlink" Target="https://sqe.gov.ua/navchalni-vtrati-v-umovakh-viyni-yak-uch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nva.com/design/DAF8HA3k3C0/8Xs7nFx7KSCLzXUmQkL4Vw/view?utm_content=DAF8HA3k3C0&amp;utm_campaign=designshare&amp;utm_medium=link&amp;utm_source=edito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estportal.gov.ua/wp-content/uploads/2023/04/Learning-losses_Ukraine.pdf" TargetMode="External"/><Relationship Id="rId23" Type="http://schemas.openxmlformats.org/officeDocument/2006/relationships/footer" Target="footer1.xml"/><Relationship Id="rId10" Type="http://schemas.openxmlformats.org/officeDocument/2006/relationships/hyperlink" Target="https://wordwall.net/uk/resource/69951540" TargetMode="External"/><Relationship Id="rId19" Type="http://schemas.openxmlformats.org/officeDocument/2006/relationships/hyperlink" Target="https://lib.iitta.gov.ua/739265/1/%D0%97%D0%B0%D0%B2%D0%B0%D0%B4%D1%81%D1%8C%D0%BA%D0%B8%D0%B9_%D0%A2%D0%B2%D0%B5%D1%80%D0%B4%D0%BE%D1%85%D0%BB%D1%96%D0%B1%20Osvitni_vtraty%202023.pdf" TargetMode="External"/><Relationship Id="rId4" Type="http://schemas.openxmlformats.org/officeDocument/2006/relationships/settings" Target="settings.xml"/><Relationship Id="rId9" Type="http://schemas.openxmlformats.org/officeDocument/2006/relationships/hyperlink" Target="https://vseosvita.ua/webquest/pravyla-bezpechnoi-roboty-za-kompiuterom-19709.html" TargetMode="External"/><Relationship Id="rId14" Type="http://schemas.openxmlformats.org/officeDocument/2006/relationships/chart" Target="charts/chart1.xml"/><Relationship Id="rId22" Type="http://schemas.openxmlformats.org/officeDocument/2006/relationships/hyperlink" Target="https://kno.rada.gov.ua/uploads/documents/38605.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sz="1400" b="1">
                <a:latin typeface="Times New Roman" panose="02020603050405020304" pitchFamily="18" charset="0"/>
                <a:cs typeface="Times New Roman" panose="02020603050405020304" pitchFamily="18" charset="0"/>
              </a:rPr>
              <a:t>Результати опитування учнів</a:t>
            </a:r>
          </a:p>
          <a:p>
            <a:pPr>
              <a:defRPr sz="1400"/>
            </a:pPr>
            <a:r>
              <a:rPr lang="ru-RU" sz="1400" b="1">
                <a:latin typeface="Times New Roman" panose="02020603050405020304" pitchFamily="18" charset="0"/>
                <a:cs typeface="Times New Roman" panose="02020603050405020304" pitchFamily="18" charset="0"/>
              </a:rPr>
              <a:t> 5-6 класів </a:t>
            </a:r>
          </a:p>
        </c:rich>
      </c:tx>
      <c:layout>
        <c:manualLayout>
          <c:xMode val="edge"/>
          <c:yMode val="edge"/>
          <c:x val="0.1540719944977347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solidFill>
          <a:schemeClr val="bg1"/>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19606421290361958"/>
          <c:w val="0.9984801799357963"/>
          <c:h val="0.62823170359519009"/>
        </c:manualLayout>
      </c:layout>
      <c:bar3DChart>
        <c:barDir val="col"/>
        <c:grouping val="clustered"/>
        <c:varyColors val="0"/>
        <c:ser>
          <c:idx val="0"/>
          <c:order val="0"/>
          <c:tx>
            <c:strRef>
              <c:f>Лист1!$B$1</c:f>
              <c:strCache>
                <c:ptCount val="1"/>
                <c:pt idx="0">
                  <c:v>так</c:v>
                </c:pt>
              </c:strCache>
            </c:strRef>
          </c:tx>
          <c:spPr>
            <a:solidFill>
              <a:schemeClr val="accent1"/>
            </a:solidFill>
            <a:ln>
              <a:noFill/>
            </a:ln>
            <a:effectLst/>
            <a:scene3d>
              <a:camera prst="orthographicFront"/>
              <a:lightRig rig="threePt" dir="t"/>
            </a:scene3d>
            <a:sp3d>
              <a:bevelT prst="relaxedInset"/>
            </a:sp3d>
          </c:spPr>
          <c:invertIfNegative val="0"/>
          <c:dLbls>
            <c:dLbl>
              <c:idx val="0"/>
              <c:layout>
                <c:manualLayout>
                  <c:x val="1.6203703703703703E-2"/>
                  <c:y val="-1.542020046260603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2C6-479F-AB31-1FF6B2E71118}"/>
                </c:ext>
                <c:ext xmlns:c15="http://schemas.microsoft.com/office/drawing/2012/chart" uri="{CE6537A1-D6FC-4f65-9D91-7224C49458BB}"/>
              </c:extLst>
            </c:dLbl>
            <c:dLbl>
              <c:idx val="1"/>
              <c:layout>
                <c:manualLayout>
                  <c:x val="1.1574074074074073E-2"/>
                  <c:y val="-1.542020046260601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2C6-479F-AB31-1FF6B2E71118}"/>
                </c:ext>
                <c:ext xmlns:c15="http://schemas.microsoft.com/office/drawing/2012/chart" uri="{CE6537A1-D6FC-4f65-9D91-7224C49458BB}"/>
              </c:extLst>
            </c:dLbl>
            <c:dLbl>
              <c:idx val="2"/>
              <c:layout>
                <c:manualLayout>
                  <c:x val="1.1574074074074073E-2"/>
                  <c:y val="-3.598046774608069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2C6-479F-AB31-1FF6B2E7111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Підвищ. мотив.</c:v>
                </c:pt>
                <c:pt idx="1">
                  <c:v> Сприй. ігров. тех.</c:v>
                </c:pt>
                <c:pt idx="2">
                  <c:v>Вик. функ.компен.</c:v>
                </c:pt>
              </c:strCache>
            </c:strRef>
          </c:cat>
          <c:val>
            <c:numRef>
              <c:f>Лист1!$B$2:$B$4</c:f>
              <c:numCache>
                <c:formatCode>General</c:formatCode>
                <c:ptCount val="3"/>
                <c:pt idx="0">
                  <c:v>45</c:v>
                </c:pt>
                <c:pt idx="1">
                  <c:v>48</c:v>
                </c:pt>
                <c:pt idx="2">
                  <c:v>38</c:v>
                </c:pt>
              </c:numCache>
            </c:numRef>
          </c:val>
          <c:extLst xmlns:c16r2="http://schemas.microsoft.com/office/drawing/2015/06/chart">
            <c:ext xmlns:c16="http://schemas.microsoft.com/office/drawing/2014/chart" uri="{C3380CC4-5D6E-409C-BE32-E72D297353CC}">
              <c16:uniqueId val="{00000003-42C6-479F-AB31-1FF6B2E71118}"/>
            </c:ext>
          </c:extLst>
        </c:ser>
        <c:ser>
          <c:idx val="1"/>
          <c:order val="1"/>
          <c:tx>
            <c:strRef>
              <c:f>Лист1!$C$1</c:f>
              <c:strCache>
                <c:ptCount val="1"/>
                <c:pt idx="0">
                  <c:v>Ряд 2</c:v>
                </c:pt>
              </c:strCache>
            </c:strRef>
          </c:tx>
          <c:spPr>
            <a:solidFill>
              <a:schemeClr val="accent2"/>
            </a:solidFill>
            <a:ln>
              <a:noFill/>
            </a:ln>
            <a:effectLst/>
            <a:sp3d/>
          </c:spPr>
          <c:invertIfNegative val="0"/>
          <c:cat>
            <c:strRef>
              <c:f>Лист1!$A$2:$A$4</c:f>
              <c:strCache>
                <c:ptCount val="3"/>
                <c:pt idx="0">
                  <c:v>Підвищ. мотив.</c:v>
                </c:pt>
                <c:pt idx="1">
                  <c:v> Сприй. ігров. тех.</c:v>
                </c:pt>
                <c:pt idx="2">
                  <c:v>Вик. функ.компен.</c:v>
                </c:pt>
              </c:strCache>
            </c:strRef>
          </c:cat>
          <c:val>
            <c:numRef>
              <c:f>Лист1!$C$2:$C$4</c:f>
            </c:numRef>
          </c:val>
          <c:extLst xmlns:c16r2="http://schemas.microsoft.com/office/drawing/2015/06/chart">
            <c:ext xmlns:c16="http://schemas.microsoft.com/office/drawing/2014/chart" uri="{C3380CC4-5D6E-409C-BE32-E72D297353CC}">
              <c16:uniqueId val="{00000004-42C6-479F-AB31-1FF6B2E71118}"/>
            </c:ext>
          </c:extLst>
        </c:ser>
        <c:ser>
          <c:idx val="2"/>
          <c:order val="2"/>
          <c:tx>
            <c:strRef>
              <c:f>Лист1!$D$1</c:f>
              <c:strCache>
                <c:ptCount val="1"/>
                <c:pt idx="0">
                  <c:v>Ряд 3</c:v>
                </c:pt>
              </c:strCache>
            </c:strRef>
          </c:tx>
          <c:spPr>
            <a:solidFill>
              <a:schemeClr val="accent3"/>
            </a:solidFill>
            <a:ln>
              <a:noFill/>
            </a:ln>
            <a:effectLst/>
            <a:sp3d/>
          </c:spPr>
          <c:invertIfNegative val="0"/>
          <c:cat>
            <c:strRef>
              <c:f>Лист1!$A$2:$A$4</c:f>
              <c:strCache>
                <c:ptCount val="3"/>
                <c:pt idx="0">
                  <c:v>Підвищ. мотив.</c:v>
                </c:pt>
                <c:pt idx="1">
                  <c:v> Сприй. ігров. тех.</c:v>
                </c:pt>
                <c:pt idx="2">
                  <c:v>Вик. функ.компен.</c:v>
                </c:pt>
              </c:strCache>
            </c:strRef>
          </c:cat>
          <c:val>
            <c:numRef>
              <c:f>Лист1!$D$2:$D$4</c:f>
            </c:numRef>
          </c:val>
          <c:extLst xmlns:c16r2="http://schemas.microsoft.com/office/drawing/2015/06/chart">
            <c:ext xmlns:c16="http://schemas.microsoft.com/office/drawing/2014/chart" uri="{C3380CC4-5D6E-409C-BE32-E72D297353CC}">
              <c16:uniqueId val="{00000005-42C6-479F-AB31-1FF6B2E71118}"/>
            </c:ext>
          </c:extLst>
        </c:ser>
        <c:ser>
          <c:idx val="3"/>
          <c:order val="3"/>
          <c:tx>
            <c:strRef>
              <c:f>Лист1!$E$1</c:f>
              <c:strCache>
                <c:ptCount val="1"/>
                <c:pt idx="0">
                  <c:v>ні</c:v>
                </c:pt>
              </c:strCache>
            </c:strRef>
          </c:tx>
          <c:spPr>
            <a:solidFill>
              <a:schemeClr val="accent4"/>
            </a:solidFill>
            <a:ln>
              <a:noFill/>
            </a:ln>
            <a:effectLst/>
            <a:scene3d>
              <a:camera prst="orthographicFront"/>
              <a:lightRig rig="threePt" dir="t"/>
            </a:scene3d>
            <a:sp3d>
              <a:bevelT prst="relaxedInset"/>
            </a:sp3d>
          </c:spPr>
          <c:invertIfNegative val="0"/>
          <c:dLbls>
            <c:dLbl>
              <c:idx val="0"/>
              <c:layout>
                <c:manualLayout>
                  <c:x val="1.890359168241966E-2"/>
                  <c:y val="-5.140066820868765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2C6-479F-AB31-1FF6B2E71118}"/>
                </c:ext>
                <c:ext xmlns:c15="http://schemas.microsoft.com/office/drawing/2012/chart" uri="{CE6537A1-D6FC-4f65-9D91-7224C49458BB}"/>
              </c:extLst>
            </c:dLbl>
            <c:dLbl>
              <c:idx val="1"/>
              <c:layout>
                <c:manualLayout>
                  <c:x val="1.0501995379121956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42C6-479F-AB31-1FF6B2E71118}"/>
                </c:ext>
                <c:ext xmlns:c15="http://schemas.microsoft.com/office/drawing/2012/chart" uri="{CE6537A1-D6FC-4f65-9D91-7224C49458BB}"/>
              </c:extLst>
            </c:dLbl>
            <c:dLbl>
              <c:idx val="2"/>
              <c:layout>
                <c:manualLayout>
                  <c:x val="1.2602394454946439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42C6-479F-AB31-1FF6B2E7111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Підвищ. мотив.</c:v>
                </c:pt>
                <c:pt idx="1">
                  <c:v> Сприй. ігров. тех.</c:v>
                </c:pt>
                <c:pt idx="2">
                  <c:v>Вик. функ.компен.</c:v>
                </c:pt>
              </c:strCache>
            </c:strRef>
          </c:cat>
          <c:val>
            <c:numRef>
              <c:f>Лист1!$E$2:$E$4</c:f>
              <c:numCache>
                <c:formatCode>General</c:formatCode>
                <c:ptCount val="3"/>
                <c:pt idx="0">
                  <c:v>3</c:v>
                </c:pt>
                <c:pt idx="1">
                  <c:v>0</c:v>
                </c:pt>
                <c:pt idx="2">
                  <c:v>10</c:v>
                </c:pt>
              </c:numCache>
            </c:numRef>
          </c:val>
          <c:extLst xmlns:c16r2="http://schemas.microsoft.com/office/drawing/2015/06/chart">
            <c:ext xmlns:c16="http://schemas.microsoft.com/office/drawing/2014/chart" uri="{C3380CC4-5D6E-409C-BE32-E72D297353CC}">
              <c16:uniqueId val="{00000009-42C6-479F-AB31-1FF6B2E71118}"/>
            </c:ext>
          </c:extLst>
        </c:ser>
        <c:dLbls>
          <c:showLegendKey val="0"/>
          <c:showVal val="0"/>
          <c:showCatName val="0"/>
          <c:showSerName val="0"/>
          <c:showPercent val="0"/>
          <c:showBubbleSize val="0"/>
        </c:dLbls>
        <c:gapWidth val="150"/>
        <c:shape val="box"/>
        <c:axId val="-443139920"/>
        <c:axId val="-443140464"/>
        <c:axId val="0"/>
      </c:bar3DChart>
      <c:catAx>
        <c:axId val="-4431399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mn-lt"/>
                <a:ea typeface="+mn-ea"/>
                <a:cs typeface="+mn-cs"/>
              </a:defRPr>
            </a:pPr>
            <a:endParaRPr lang="ru-RU"/>
          </a:p>
        </c:txPr>
        <c:crossAx val="-443140464"/>
        <c:crosses val="autoZero"/>
        <c:auto val="1"/>
        <c:lblAlgn val="ctr"/>
        <c:lblOffset val="100"/>
        <c:noMultiLvlLbl val="0"/>
      </c:catAx>
      <c:valAx>
        <c:axId val="-443140464"/>
        <c:scaling>
          <c:orientation val="minMax"/>
        </c:scaling>
        <c:delete val="1"/>
        <c:axPos val="l"/>
        <c:numFmt formatCode="General" sourceLinked="1"/>
        <c:majorTickMark val="none"/>
        <c:minorTickMark val="none"/>
        <c:tickLblPos val="nextTo"/>
        <c:crossAx val="-4431399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bFSzwRtxcuNdP0wGfkr5QVTspw==">CgMxLjA4AHIhMUw1NlF0SEpBbENZNDdaRW9NUm85bzR5czcyNU42VGdp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1652</Words>
  <Characters>9417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2024-03-11T08:53:00Z</dcterms:created>
  <dcterms:modified xsi:type="dcterms:W3CDTF">2024-04-10T08:53:00Z</dcterms:modified>
</cp:coreProperties>
</file>