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3B7" w:rsidRPr="00522607" w:rsidRDefault="00E153B7" w:rsidP="00E153B7">
      <w:pPr>
        <w:spacing w:line="480" w:lineRule="auto"/>
        <w:ind w:firstLine="708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  <w:lang w:val="uk-UA"/>
        </w:rPr>
        <w:t>Мовні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засоби опису наукової інформації – важлива </w:t>
      </w: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  <w:lang w:val="uk-UA"/>
        </w:rPr>
        <w:t>складова професійної підготовки</w:t>
      </w:r>
    </w:p>
    <w:p w:rsidR="00E153B7" w:rsidRDefault="00E153B7" w:rsidP="00E153B7">
      <w:pPr>
        <w:spacing w:line="48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Проблема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коректного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опису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наукової інформації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мовними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засобами актуальна для всіх наук, хоча, без сумніву, носить гуманітарний характер. </w:t>
      </w:r>
      <w:r w:rsidRPr="00B227D4">
        <w:rPr>
          <w:rFonts w:ascii="Times New Roman" w:hAnsi="Times New Roman" w:cs="Times New Roman"/>
          <w:sz w:val="28"/>
          <w:szCs w:val="28"/>
          <w:lang w:val="uk-UA"/>
        </w:rPr>
        <w:t xml:space="preserve">Гуманітаризація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вищої освіти, яка проводиться Міністерством освіти і науки України, повинна сприяти формуванню технічної еліти, яка отримала знання не тільки в технічній, а й в гуманітарних сферах. Ми вважаємо, що гуманітарні дисципліни у вищих навчальних закладах технічного напрямку не можна розглядати як противага технічним. Навпаки, такі дисципліни  допоможуть майбутнім спеціалістам формувати у своїй свідомості  сучасне уявлення про наукову картину світу,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логічно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обмірковувати нові науково-технічні поняття і за необхідності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коректно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здійснювати процес вербалізації.</w:t>
      </w:r>
    </w:p>
    <w:p w:rsidR="00E153B7" w:rsidRDefault="00E153B7" w:rsidP="00E153B7">
      <w:pPr>
        <w:spacing w:line="48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Починаючи з 90-х років 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780F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століття спостерігається інформаційний вибух, результатом якого стало різке збільшення обсягу накопиченої людством науково-технічної інформації. Основну її частину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мовному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плані складають терміни,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професіоналізми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професійні жаргонізми, номенклатура. Важливо відрізняти, що їх функціонування носить не випадковий характер. Сфера будь-якої галузі знань або професійної діяльності обслуговується особливим мовленням – мовленням професійної комунікації, орієнтованим на передавання наукової інформації. Тому філологічна підготовка майбутніх спеціалістів різних сфер діяльності повинна бути спрямована, в першу чергу,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 засвоєння мовленнєвих засобів опису наукової інформації, тому що є важливою складовою їх професійної підготовки. Така спрямованість навчання, по-перше, буде сприяти розвитку вмінь, здійснювати аналітико-синтетичну трансформацію наукової інформації, а по-друге, знадобиться майбутнім спеціалістам у вирішенні їх професійних завдань. Наприклад, ознайомлення з особливостями наукового мовлення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понятійність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предметність, об</w:t>
      </w:r>
      <w:r w:rsidRPr="00DC4F9C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єктивність, логічна послідовність під час викладу матеріалу, узагальнення, аргументованість, чітка композиційна структура кожного наукового жанру, наявність у мовленні стандартних оборотів (кліше), цитат, посилань – допоможе курсантам у роботі з різними джерелами наукової інформації.</w:t>
      </w:r>
    </w:p>
    <w:p w:rsidR="00E153B7" w:rsidRDefault="00E153B7" w:rsidP="00E153B7">
      <w:pPr>
        <w:spacing w:line="48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Професійна підготовка фахівця, на нашу думку, обов</w:t>
      </w:r>
      <w:r w:rsidRPr="0085492B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язково повинна містити цілеспрямоване і систематичне вивчення професійної лексики – важливої складової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мовного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аспекту опису наукової картини світу.</w:t>
      </w:r>
    </w:p>
    <w:p w:rsidR="00E153B7" w:rsidRDefault="00E153B7" w:rsidP="00E153B7">
      <w:pPr>
        <w:spacing w:line="48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зв</w:t>
      </w:r>
      <w:r w:rsidRPr="00695550">
        <w:rPr>
          <w:rFonts w:ascii="Times New Roman" w:hAnsi="Times New Roman" w:cs="Times New Roman"/>
          <w:sz w:val="28"/>
          <w:szCs w:val="28"/>
          <w:lang w:val="uk-UA"/>
        </w:rPr>
        <w:t>'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язку з цим розглянемо деякі особливості термінологічної підготовки курсантів, яку доцільно здійснювати під час вивчення курсу </w:t>
      </w:r>
      <w:r w:rsidRPr="00BB3291">
        <w:rPr>
          <w:rFonts w:ascii="Times New Roman" w:hAnsi="Times New Roman" w:cs="Times New Roman"/>
          <w:sz w:val="28"/>
          <w:szCs w:val="28"/>
          <w:lang w:val="uk-UA"/>
        </w:rPr>
        <w:t>“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Українська мова (за професійним спрямуванням)</w:t>
      </w:r>
      <w:r w:rsidRPr="00BB3291">
        <w:rPr>
          <w:rFonts w:ascii="Times New Roman" w:hAnsi="Times New Roman" w:cs="Times New Roman"/>
          <w:sz w:val="28"/>
          <w:szCs w:val="28"/>
          <w:lang w:val="uk-UA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153B7" w:rsidRDefault="00E153B7" w:rsidP="00E153B7">
      <w:pPr>
        <w:spacing w:line="48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Майбутні спеціалісти повинні засвоїти наступні поняття:</w:t>
      </w:r>
    </w:p>
    <w:p w:rsidR="00E153B7" w:rsidRPr="00695550" w:rsidRDefault="00E153B7" w:rsidP="00E153B7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термін (лексична одиниця, яка позначає поняття в конкретній галузі, підгалузі знань)</w:t>
      </w:r>
      <w:r w:rsidRPr="00695550">
        <w:rPr>
          <w:rFonts w:ascii="Times New Roman" w:hAnsi="Times New Roman" w:cs="Times New Roman"/>
          <w:sz w:val="28"/>
          <w:szCs w:val="28"/>
        </w:rPr>
        <w:t>;</w:t>
      </w:r>
    </w:p>
    <w:p w:rsidR="00E153B7" w:rsidRPr="00D85DD6" w:rsidRDefault="00E153B7" w:rsidP="00E153B7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дефініція (визначення наукового, технічного або іншого поняття)</w:t>
      </w:r>
      <w:r w:rsidRPr="00D85DD6">
        <w:rPr>
          <w:rFonts w:ascii="Times New Roman" w:hAnsi="Times New Roman" w:cs="Times New Roman"/>
          <w:sz w:val="28"/>
          <w:szCs w:val="28"/>
        </w:rPr>
        <w:t>;</w:t>
      </w:r>
    </w:p>
    <w:p w:rsidR="00E153B7" w:rsidRPr="00C15435" w:rsidRDefault="00E153B7" w:rsidP="00E153B7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терміноелемент (структурний елемент терміну, який має конкретний інформаційний зміст)</w:t>
      </w:r>
      <w:r w:rsidRPr="00C15435">
        <w:rPr>
          <w:rFonts w:ascii="Times New Roman" w:hAnsi="Times New Roman" w:cs="Times New Roman"/>
          <w:sz w:val="28"/>
          <w:szCs w:val="28"/>
        </w:rPr>
        <w:t>;</w:t>
      </w:r>
    </w:p>
    <w:p w:rsidR="00E153B7" w:rsidRPr="00C15435" w:rsidRDefault="00E153B7" w:rsidP="00E153B7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терміноїд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(назва конкретного об</w:t>
      </w:r>
      <w:r w:rsidRPr="00C15435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єкта або дії, які стосуються конкретної вузької галузі професійної діяльності: номенклатура,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професіоналізми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професійні просторіччя)</w:t>
      </w:r>
      <w:r w:rsidRPr="00C1543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153B7" w:rsidRDefault="00E153B7" w:rsidP="00E153B7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термінологія (сукупність термінів, які позначають поняття, що стосуються  конкретної галузі знань або діяльності)</w:t>
      </w:r>
      <w:r w:rsidRPr="00C1543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153B7" w:rsidRDefault="00E153B7" w:rsidP="00E153B7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терміносистема (система термінів, яка обслуговує певну наукову теорію або концепцію).</w:t>
      </w:r>
    </w:p>
    <w:p w:rsidR="00E153B7" w:rsidRDefault="00E153B7" w:rsidP="00E153B7">
      <w:pPr>
        <w:spacing w:line="48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Державна мова виконує функції, для ефективного здійснення яких необхідно створювати </w:t>
      </w:r>
      <w:r w:rsidRPr="00C154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розвивати нові термінології. І тут не можна обійтися без термінологічного планування, яке є складовою частиною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мовного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планування і має два напрямки:</w:t>
      </w:r>
    </w:p>
    <w:p w:rsidR="00E153B7" w:rsidRPr="0095770E" w:rsidRDefault="00E153B7" w:rsidP="00E153B7">
      <w:pPr>
        <w:pStyle w:val="a3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95770E">
        <w:rPr>
          <w:rFonts w:ascii="Times New Roman" w:hAnsi="Times New Roman" w:cs="Times New Roman"/>
          <w:sz w:val="28"/>
          <w:szCs w:val="28"/>
          <w:lang w:val="uk-UA"/>
        </w:rPr>
        <w:t>ермінологічна модернізація – створення нових термінів на ґрунті рідної мови (</w:t>
      </w:r>
      <w:proofErr w:type="spellStart"/>
      <w:r w:rsidRPr="0095770E">
        <w:rPr>
          <w:rFonts w:ascii="Times New Roman" w:hAnsi="Times New Roman" w:cs="Times New Roman"/>
          <w:sz w:val="28"/>
          <w:szCs w:val="28"/>
          <w:lang w:val="uk-UA"/>
        </w:rPr>
        <w:t>пурифікація</w:t>
      </w:r>
      <w:proofErr w:type="spellEnd"/>
      <w:r w:rsidRPr="0095770E">
        <w:rPr>
          <w:rFonts w:ascii="Times New Roman" w:hAnsi="Times New Roman" w:cs="Times New Roman"/>
          <w:sz w:val="28"/>
          <w:szCs w:val="28"/>
          <w:lang w:val="uk-UA"/>
        </w:rPr>
        <w:t>, або запозичення їх з і</w:t>
      </w:r>
      <w:r>
        <w:rPr>
          <w:rFonts w:ascii="Times New Roman" w:hAnsi="Times New Roman" w:cs="Times New Roman"/>
          <w:sz w:val="28"/>
          <w:szCs w:val="28"/>
          <w:lang w:val="uk-UA"/>
        </w:rPr>
        <w:t>ншої мови, інтернаціоналізація)</w:t>
      </w:r>
      <w:r w:rsidRPr="00BB3291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153B7" w:rsidRDefault="00E153B7" w:rsidP="00E153B7">
      <w:pPr>
        <w:pStyle w:val="a3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термінологічна стандартизація – відбір із декількох варіантів назв поняття одного у якості нормативного).</w:t>
      </w:r>
    </w:p>
    <w:p w:rsidR="00E153B7" w:rsidRDefault="00E153B7" w:rsidP="00E153B7">
      <w:pPr>
        <w:spacing w:line="48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Необхідною умовою створення термінів, які повністю відповідають тим вимогам, які до них ставляться (однозначність, системність, мотивування, точність, відсутність синонімів), є вміння відрізняти терміни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від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терміноїдів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Терміноїди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як відомо, представляють собою сукупність трьох груп лексичних одиниць, які визначають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конретний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об</w:t>
      </w:r>
      <w:r w:rsidRPr="0095770E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єкт або дію в конкретній галузі професійної діяльності.</w:t>
      </w:r>
    </w:p>
    <w:p w:rsidR="00E153B7" w:rsidRDefault="00E153B7" w:rsidP="00E153B7">
      <w:pPr>
        <w:spacing w:line="48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Перша група – номенклатура, тобто назва типів і класів об</w:t>
      </w:r>
      <w:r w:rsidRPr="0095770E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єктів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науки і техніки.</w:t>
      </w:r>
    </w:p>
    <w:p w:rsidR="00E153B7" w:rsidRDefault="00E153B7" w:rsidP="00E153B7">
      <w:pPr>
        <w:spacing w:line="48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Друга група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професіоналізми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У більшості своїй ці лексичні одиниці носять архаїчний характер, оскільки називають поняття, які стосуються галузі старовинних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ремесел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153B7" w:rsidRDefault="00E153B7" w:rsidP="00E153B7">
      <w:pPr>
        <w:spacing w:line="48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Третя група -  професійні просторіччя (жаргонізми). Причиною їх появи можуть бути певні особливості психічного стану людини (наприклад, певні асоціації, які породжують метафори), а також намагання скоротити або спростити існуючий термін.</w:t>
      </w:r>
    </w:p>
    <w:p w:rsidR="00E153B7" w:rsidRPr="003D0634" w:rsidRDefault="00E153B7" w:rsidP="00E153B7">
      <w:pPr>
        <w:spacing w:line="48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Крім питань термінологічної підготовки, в курсі «Українська мова (за професійним спрямуванням)</w:t>
      </w:r>
      <w:r w:rsidRPr="000A657A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основну увагу слід приділити практичному навчанню написання різних робіт. Курсанти обов</w:t>
      </w:r>
      <w:r w:rsidRPr="003D0634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язково повинні засвоїти формально-логічний спосіб викладу матеріалу, ознайомитися з системою мовленнєвих засобів, прийомами доказових роздумів та іншими характерними особливостями наукової мови. Крім того, вони повинні напрацювати практичні навички роботи над текстом, бо саме редагування є завершальним етапом написання будь-якої наукової роботи.</w:t>
      </w:r>
    </w:p>
    <w:p w:rsidR="00E153B7" w:rsidRDefault="00E153B7" w:rsidP="00E153B7">
      <w:pPr>
        <w:spacing w:line="48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Таким чином, ми вважаємо, що основну увагу в курсі </w:t>
      </w:r>
      <w:r w:rsidRPr="00C06671">
        <w:rPr>
          <w:rFonts w:ascii="Times New Roman" w:hAnsi="Times New Roman" w:cs="Times New Roman"/>
          <w:sz w:val="28"/>
          <w:szCs w:val="28"/>
          <w:lang w:val="uk-UA"/>
        </w:rPr>
        <w:t>“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Українська мова (за професійним спрямуванням)</w:t>
      </w:r>
      <w:r w:rsidRPr="00C06671">
        <w:rPr>
          <w:rFonts w:ascii="Times New Roman" w:hAnsi="Times New Roman" w:cs="Times New Roman"/>
          <w:sz w:val="28"/>
          <w:szCs w:val="28"/>
          <w:lang w:val="uk-UA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слід приділити засвоєнню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мовних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засобів опису наукової інформації, особливо термінологічній підготовці і напрацюванню практичних навичок написання і редагування текстів письмових робіт та усних виступів.</w:t>
      </w:r>
    </w:p>
    <w:p w:rsidR="003607AF" w:rsidRPr="00E153B7" w:rsidRDefault="00041A9F">
      <w:pPr>
        <w:rPr>
          <w:lang w:val="uk-UA"/>
        </w:rPr>
      </w:pPr>
    </w:p>
    <w:sectPr w:rsidR="003607AF" w:rsidRPr="00E153B7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A9F" w:rsidRDefault="00041A9F" w:rsidP="00B101DC">
      <w:pPr>
        <w:spacing w:after="0" w:line="240" w:lineRule="auto"/>
      </w:pPr>
      <w:r>
        <w:separator/>
      </w:r>
    </w:p>
  </w:endnote>
  <w:endnote w:type="continuationSeparator" w:id="0">
    <w:p w:rsidR="00041A9F" w:rsidRDefault="00041A9F" w:rsidP="00B101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A9F" w:rsidRDefault="00041A9F" w:rsidP="00B101DC">
      <w:pPr>
        <w:spacing w:after="0" w:line="240" w:lineRule="auto"/>
      </w:pPr>
      <w:r>
        <w:separator/>
      </w:r>
    </w:p>
  </w:footnote>
  <w:footnote w:type="continuationSeparator" w:id="0">
    <w:p w:rsidR="00041A9F" w:rsidRDefault="00041A9F" w:rsidP="00B101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119"/>
      <w:gridCol w:w="3119"/>
      <w:gridCol w:w="3117"/>
    </w:tblGrid>
    <w:tr w:rsidR="00B101DC" w:rsidRPr="00B101DC">
      <w:trPr>
        <w:trHeight w:val="720"/>
      </w:trPr>
      <w:tc>
        <w:tcPr>
          <w:tcW w:w="1667" w:type="pct"/>
        </w:tcPr>
        <w:p w:rsidR="00B101DC" w:rsidRDefault="00B101DC">
          <w:pPr>
            <w:pStyle w:val="a4"/>
            <w:tabs>
              <w:tab w:val="clear" w:pos="4677"/>
              <w:tab w:val="clear" w:pos="9355"/>
            </w:tabs>
            <w:rPr>
              <w:color w:val="5B9BD5" w:themeColor="accent1"/>
            </w:rPr>
          </w:pPr>
        </w:p>
      </w:tc>
      <w:tc>
        <w:tcPr>
          <w:tcW w:w="1667" w:type="pct"/>
        </w:tcPr>
        <w:p w:rsidR="00B101DC" w:rsidRDefault="00B101DC">
          <w:pPr>
            <w:pStyle w:val="a4"/>
            <w:tabs>
              <w:tab w:val="clear" w:pos="4677"/>
              <w:tab w:val="clear" w:pos="9355"/>
            </w:tabs>
            <w:jc w:val="center"/>
            <w:rPr>
              <w:color w:val="5B9BD5" w:themeColor="accent1"/>
            </w:rPr>
          </w:pPr>
        </w:p>
      </w:tc>
      <w:tc>
        <w:tcPr>
          <w:tcW w:w="1666" w:type="pct"/>
        </w:tcPr>
        <w:p w:rsidR="00B101DC" w:rsidRPr="00B101DC" w:rsidRDefault="00B101DC">
          <w:pPr>
            <w:pStyle w:val="a4"/>
            <w:tabs>
              <w:tab w:val="clear" w:pos="4677"/>
              <w:tab w:val="clear" w:pos="9355"/>
            </w:tabs>
            <w:jc w:val="right"/>
            <w:rPr>
              <w:color w:val="000000" w:themeColor="text1"/>
            </w:rPr>
          </w:pPr>
          <w:r w:rsidRPr="00B101DC">
            <w:rPr>
              <w:color w:val="000000" w:themeColor="text1"/>
              <w:sz w:val="24"/>
              <w:szCs w:val="24"/>
            </w:rPr>
            <w:fldChar w:fldCharType="begin"/>
          </w:r>
          <w:r w:rsidRPr="00B101DC">
            <w:rPr>
              <w:color w:val="000000" w:themeColor="text1"/>
              <w:sz w:val="24"/>
              <w:szCs w:val="24"/>
            </w:rPr>
            <w:instrText>PAGE   \* MERGEFORMAT</w:instrText>
          </w:r>
          <w:r w:rsidRPr="00B101DC">
            <w:rPr>
              <w:color w:val="000000" w:themeColor="text1"/>
              <w:sz w:val="24"/>
              <w:szCs w:val="24"/>
            </w:rPr>
            <w:fldChar w:fldCharType="separate"/>
          </w:r>
          <w:r>
            <w:rPr>
              <w:noProof/>
              <w:color w:val="000000" w:themeColor="text1"/>
              <w:sz w:val="24"/>
              <w:szCs w:val="24"/>
            </w:rPr>
            <w:t>3</w:t>
          </w:r>
          <w:r w:rsidRPr="00B101DC">
            <w:rPr>
              <w:color w:val="000000" w:themeColor="text1"/>
              <w:sz w:val="24"/>
              <w:szCs w:val="24"/>
            </w:rPr>
            <w:fldChar w:fldCharType="end"/>
          </w:r>
        </w:p>
      </w:tc>
    </w:tr>
  </w:tbl>
  <w:p w:rsidR="00B101DC" w:rsidRDefault="00B101D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B2502B"/>
    <w:multiLevelType w:val="hybridMultilevel"/>
    <w:tmpl w:val="9C5ACDDA"/>
    <w:lvl w:ilvl="0" w:tplc="C26415BE">
      <w:start w:val="1"/>
      <w:numFmt w:val="decimal"/>
      <w:lvlText w:val="%1)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07022ED"/>
    <w:multiLevelType w:val="hybridMultilevel"/>
    <w:tmpl w:val="6C4C36F0"/>
    <w:lvl w:ilvl="0" w:tplc="207C936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3B7"/>
    <w:rsid w:val="00041A9F"/>
    <w:rsid w:val="000C4EB4"/>
    <w:rsid w:val="00733BDB"/>
    <w:rsid w:val="00B101DC"/>
    <w:rsid w:val="00E153B7"/>
    <w:rsid w:val="00EF3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B1A61"/>
  <w15:chartTrackingRefBased/>
  <w15:docId w15:val="{697E7B42-940D-46F6-87CA-7733FE181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3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53B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101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101DC"/>
  </w:style>
  <w:style w:type="paragraph" w:styleId="a6">
    <w:name w:val="footer"/>
    <w:basedOn w:val="a"/>
    <w:link w:val="a7"/>
    <w:uiPriority w:val="99"/>
    <w:unhideWhenUsed/>
    <w:rsid w:val="00B101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101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804</Words>
  <Characters>4584</Characters>
  <Application>Microsoft Office Word</Application>
  <DocSecurity>0</DocSecurity>
  <Lines>38</Lines>
  <Paragraphs>10</Paragraphs>
  <ScaleCrop>false</ScaleCrop>
  <Company/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Богдан</dc:creator>
  <cp:keywords/>
  <dc:description/>
  <cp:lastModifiedBy>Богдан</cp:lastModifiedBy>
  <cp:revision>3</cp:revision>
  <dcterms:created xsi:type="dcterms:W3CDTF">2018-04-19T17:10:00Z</dcterms:created>
  <dcterms:modified xsi:type="dcterms:W3CDTF">2018-04-19T17:19:00Z</dcterms:modified>
</cp:coreProperties>
</file>