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9A" w:rsidRPr="007C2F7D" w:rsidRDefault="00627EE8" w:rsidP="007C2F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2F7D">
        <w:rPr>
          <w:rFonts w:ascii="Times New Roman" w:hAnsi="Times New Roman" w:cs="Times New Roman"/>
          <w:b/>
          <w:bCs/>
          <w:sz w:val="36"/>
          <w:szCs w:val="36"/>
        </w:rPr>
        <w:t xml:space="preserve">Правила </w:t>
      </w:r>
      <w:proofErr w:type="spellStart"/>
      <w:r w:rsidRPr="007C2F7D">
        <w:rPr>
          <w:rFonts w:ascii="Times New Roman" w:hAnsi="Times New Roman" w:cs="Times New Roman"/>
          <w:b/>
          <w:bCs/>
          <w:sz w:val="36"/>
          <w:szCs w:val="36"/>
        </w:rPr>
        <w:t>поведінки</w:t>
      </w:r>
      <w:proofErr w:type="spellEnd"/>
      <w:r w:rsidRPr="007C2F7D">
        <w:rPr>
          <w:rFonts w:ascii="Times New Roman" w:hAnsi="Times New Roman" w:cs="Times New Roman"/>
          <w:b/>
          <w:bCs/>
          <w:sz w:val="36"/>
          <w:szCs w:val="36"/>
        </w:rPr>
        <w:t xml:space="preserve">  в </w:t>
      </w:r>
      <w:proofErr w:type="spellStart"/>
      <w:r w:rsidRPr="007C2F7D">
        <w:rPr>
          <w:rFonts w:ascii="Times New Roman" w:hAnsi="Times New Roman" w:cs="Times New Roman"/>
          <w:b/>
          <w:bCs/>
          <w:sz w:val="36"/>
          <w:szCs w:val="36"/>
        </w:rPr>
        <w:t>умовах</w:t>
      </w:r>
      <w:proofErr w:type="spellEnd"/>
      <w:r w:rsidRPr="007C2F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C2F7D">
        <w:rPr>
          <w:rFonts w:ascii="Times New Roman" w:hAnsi="Times New Roman" w:cs="Times New Roman"/>
          <w:b/>
          <w:bCs/>
          <w:sz w:val="36"/>
          <w:szCs w:val="36"/>
        </w:rPr>
        <w:t>надзвичайних</w:t>
      </w:r>
      <w:proofErr w:type="spellEnd"/>
      <w:r w:rsidRPr="007C2F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C2F7D">
        <w:rPr>
          <w:rFonts w:ascii="Times New Roman" w:hAnsi="Times New Roman" w:cs="Times New Roman"/>
          <w:b/>
          <w:bCs/>
          <w:sz w:val="36"/>
          <w:szCs w:val="36"/>
        </w:rPr>
        <w:t>ситуації</w:t>
      </w:r>
      <w:proofErr w:type="spellEnd"/>
      <w:r w:rsidRPr="007C2F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C2F7D">
        <w:rPr>
          <w:rFonts w:ascii="Times New Roman" w:hAnsi="Times New Roman" w:cs="Times New Roman"/>
          <w:b/>
          <w:bCs/>
          <w:sz w:val="36"/>
          <w:szCs w:val="36"/>
        </w:rPr>
        <w:t>воєнного</w:t>
      </w:r>
      <w:proofErr w:type="spellEnd"/>
      <w:r w:rsidRPr="007C2F7D">
        <w:rPr>
          <w:rFonts w:ascii="Times New Roman" w:hAnsi="Times New Roman" w:cs="Times New Roman"/>
          <w:b/>
          <w:bCs/>
          <w:sz w:val="36"/>
          <w:szCs w:val="36"/>
        </w:rPr>
        <w:t xml:space="preserve"> характеру</w:t>
      </w:r>
    </w:p>
    <w:p w:rsidR="00627EE8" w:rsidRPr="007C2F7D" w:rsidRDefault="00627EE8" w:rsidP="00627E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провокації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сповіщати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малознайомих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людей, 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ненадійною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репутацією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(паспорт)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засвідчує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особу,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здоров’ям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алергію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медичні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знати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цивільної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частого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магазини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базар, дорога до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медичні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). Без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старатися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найменше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ісцем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малознайомих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виході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пересуванні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сходинами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багатоповерхівок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цивільної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сховища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руки (як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автомобільного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транспорту) з метою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тисняви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Пропускати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вперед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перестарілим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людям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інвалідам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скоротить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скупчення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людей;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вступати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суперечки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незнайомими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провокацій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можливу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людям (за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появі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озброєних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заворушень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покидати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посилювати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сторони-агресора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орієнтуються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розмовляють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акцентом, не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характерна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зовнішність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провокативні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незрозумілих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правопорядку,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потрапляння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у район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обстрілу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сховатись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найближчу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захисну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споруду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цивільної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сховище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пристосованих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сховищ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рельєфу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канави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окопи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заглиблення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вибухів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раптового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обстрілу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сховища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−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лягти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 головою в сторону,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протилежну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вибухам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. Голову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прикрити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руками (за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прикриття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валізу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). Не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виходьте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обстрілу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людям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Визвати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швидку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ДСНС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правопорядку за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ідком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протиправних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викрадення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побиття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постаратися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з’ясувати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про них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близькі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Вам люди,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опинитись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скрутному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становищі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потребувати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7EE8" w:rsidRPr="007C2F7D" w:rsidRDefault="00627EE8" w:rsidP="00627E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7EE8" w:rsidRPr="007C2F7D" w:rsidRDefault="00627EE8" w:rsidP="00627E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рекомендується</w:t>
      </w:r>
      <w:proofErr w:type="spellEnd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ідходити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почуєте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постріли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спостерігати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за ходом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стояти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перебігати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обстрілом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конфліктувати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озброєними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людьми;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армійську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камуфльований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демонструвати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схожі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ідбирати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покинуті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боєприпаси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7EE8" w:rsidRPr="007C2F7D" w:rsidRDefault="00627EE8" w:rsidP="00627E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7EE8" w:rsidRPr="007C2F7D" w:rsidRDefault="00627EE8" w:rsidP="00627E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виявленні</w:t>
      </w:r>
      <w:proofErr w:type="spellEnd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вибухонебезпечних</w:t>
      </w:r>
      <w:proofErr w:type="spellEnd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забороняється</w:t>
      </w:r>
      <w:proofErr w:type="spellEnd"/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627EE8" w:rsidRPr="007C2F7D" w:rsidRDefault="00627EE8" w:rsidP="00627E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перекладати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перекочувати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одного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збирати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нагрівати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ударяти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намагатися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розряджати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розбирати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заряди для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розведення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EE8" w:rsidRPr="007C2F7D" w:rsidRDefault="00627EE8" w:rsidP="00627E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приносити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закопувати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в землю,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кидати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колодязь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ічку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7EE8" w:rsidRPr="007C2F7D" w:rsidRDefault="00627EE8" w:rsidP="00627E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Виявивши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вибухонебезпечні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вживайте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огородження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охороні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ісці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територіальні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7D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7C2F7D">
        <w:rPr>
          <w:rFonts w:ascii="Times New Roman" w:hAnsi="Times New Roman" w:cs="Times New Roman"/>
          <w:sz w:val="28"/>
          <w:szCs w:val="28"/>
          <w:lang w:eastAsia="ru-RU"/>
        </w:rPr>
        <w:t xml:space="preserve"> ДСНС та МВС за </w:t>
      </w:r>
      <w:r w:rsidRPr="007C2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телефоном "101" та "102".</w:t>
      </w:r>
    </w:p>
    <w:p w:rsidR="00627EE8" w:rsidRDefault="001D55B6" w:rsidP="00627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D5A3AD" wp14:editId="64681C41">
            <wp:extent cx="5940425" cy="4020799"/>
            <wp:effectExtent l="0" t="0" r="3175" b="0"/>
            <wp:docPr id="1" name="Рисунок 1" descr="Дії учасників освітнього процесу в разі надзвичайних ситуацій | Освітній  омбудсмен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ії учасників освітнього процесу в разі надзвичайних ситуацій | Освітній  омбудсмен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6" w:rsidRDefault="001D55B6" w:rsidP="00627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5B6" w:rsidRDefault="001D55B6" w:rsidP="00627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DB931B" wp14:editId="04599D90">
            <wp:extent cx="5943600" cy="3571875"/>
            <wp:effectExtent l="0" t="0" r="0" b="9525"/>
            <wp:docPr id="2" name="Рисунок 2" descr="Правила поведінки під час повітряної тривоги: як провести виховну годину |  Освіта-І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поведінки під час повітряної тривоги: як провести виховну годину |  Освіта-Інф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24" cy="35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6" w:rsidRDefault="001D55B6" w:rsidP="00627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AFC83CE" wp14:editId="76502B85">
            <wp:extent cx="6143624" cy="8953500"/>
            <wp:effectExtent l="0" t="0" r="0" b="0"/>
            <wp:docPr id="4" name="Рисунок 4" descr="Федорівський ліцей Мурафської сільської ради Жмеринського району Вінницької  області - Го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орівський ліцей Мурафської сільської ради Жмеринського району Вінницької  області - Голо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76" cy="89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6" w:rsidRDefault="001D55B6" w:rsidP="00627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D55B6" w:rsidRPr="001D55B6" w:rsidRDefault="001D55B6" w:rsidP="00627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A776537" wp14:editId="68646F4D">
            <wp:extent cx="5940425" cy="8423645"/>
            <wp:effectExtent l="0" t="0" r="3175" b="0"/>
            <wp:docPr id="6" name="Рисунок 6" descr="БАЗОВІ ПРАВИЛА БЕЗПЕКИ ПІД ЧАС ВІЙНИ – Центр аналітично-методичного та  матеріально-технічного забезпечення розвитку освітніх закладів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ЗОВІ ПРАВИЛА БЕЗПЕКИ ПІД ЧАС ВІЙНИ – Центр аналітично-методичного та  матеріально-технічного забезпечення розвитку освітніх закладів област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5B6" w:rsidRPr="001D55B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3C" w:rsidRDefault="001C3A3C" w:rsidP="0071049F">
      <w:pPr>
        <w:spacing w:after="0" w:line="240" w:lineRule="auto"/>
      </w:pPr>
      <w:r>
        <w:separator/>
      </w:r>
    </w:p>
  </w:endnote>
  <w:endnote w:type="continuationSeparator" w:id="0">
    <w:p w:rsidR="001C3A3C" w:rsidRDefault="001C3A3C" w:rsidP="0071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65507"/>
      <w:docPartObj>
        <w:docPartGallery w:val="Page Numbers (Bottom of Page)"/>
        <w:docPartUnique/>
      </w:docPartObj>
    </w:sdtPr>
    <w:sdtEndPr/>
    <w:sdtContent>
      <w:p w:rsidR="0071049F" w:rsidRDefault="007104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B6">
          <w:rPr>
            <w:noProof/>
          </w:rPr>
          <w:t>5</w:t>
        </w:r>
        <w:r>
          <w:fldChar w:fldCharType="end"/>
        </w:r>
      </w:p>
    </w:sdtContent>
  </w:sdt>
  <w:p w:rsidR="0071049F" w:rsidRDefault="007104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3C" w:rsidRDefault="001C3A3C" w:rsidP="0071049F">
      <w:pPr>
        <w:spacing w:after="0" w:line="240" w:lineRule="auto"/>
      </w:pPr>
      <w:r>
        <w:separator/>
      </w:r>
    </w:p>
  </w:footnote>
  <w:footnote w:type="continuationSeparator" w:id="0">
    <w:p w:rsidR="001C3A3C" w:rsidRDefault="001C3A3C" w:rsidP="0071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C5B"/>
    <w:multiLevelType w:val="multilevel"/>
    <w:tmpl w:val="C21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5A3"/>
    <w:multiLevelType w:val="multilevel"/>
    <w:tmpl w:val="F9E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64727"/>
    <w:multiLevelType w:val="multilevel"/>
    <w:tmpl w:val="ADF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C1B8F"/>
    <w:multiLevelType w:val="multilevel"/>
    <w:tmpl w:val="FA2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C76CB"/>
    <w:multiLevelType w:val="multilevel"/>
    <w:tmpl w:val="47E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94D0E"/>
    <w:multiLevelType w:val="multilevel"/>
    <w:tmpl w:val="9590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0668E"/>
    <w:multiLevelType w:val="multilevel"/>
    <w:tmpl w:val="3F3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D2E83"/>
    <w:multiLevelType w:val="multilevel"/>
    <w:tmpl w:val="3C5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57953"/>
    <w:multiLevelType w:val="multilevel"/>
    <w:tmpl w:val="81B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D0316"/>
    <w:multiLevelType w:val="multilevel"/>
    <w:tmpl w:val="3D2E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57117"/>
    <w:multiLevelType w:val="hybridMultilevel"/>
    <w:tmpl w:val="0E20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FC4"/>
    <w:multiLevelType w:val="hybridMultilevel"/>
    <w:tmpl w:val="311C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555E"/>
    <w:multiLevelType w:val="multilevel"/>
    <w:tmpl w:val="59D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432FC"/>
    <w:multiLevelType w:val="multilevel"/>
    <w:tmpl w:val="69E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F1FC1"/>
    <w:multiLevelType w:val="multilevel"/>
    <w:tmpl w:val="E1B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77C52"/>
    <w:multiLevelType w:val="multilevel"/>
    <w:tmpl w:val="4C0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9247F"/>
    <w:multiLevelType w:val="multilevel"/>
    <w:tmpl w:val="A032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40F1C"/>
    <w:multiLevelType w:val="hybridMultilevel"/>
    <w:tmpl w:val="B9E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E16B2"/>
    <w:multiLevelType w:val="multilevel"/>
    <w:tmpl w:val="A81E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97481"/>
    <w:multiLevelType w:val="multilevel"/>
    <w:tmpl w:val="B30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A451F"/>
    <w:multiLevelType w:val="multilevel"/>
    <w:tmpl w:val="F7F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D00C0"/>
    <w:multiLevelType w:val="multilevel"/>
    <w:tmpl w:val="F33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61ED3"/>
    <w:multiLevelType w:val="multilevel"/>
    <w:tmpl w:val="7A0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585A9C"/>
    <w:multiLevelType w:val="multilevel"/>
    <w:tmpl w:val="CB2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C0844"/>
    <w:multiLevelType w:val="multilevel"/>
    <w:tmpl w:val="894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3313E"/>
    <w:multiLevelType w:val="hybridMultilevel"/>
    <w:tmpl w:val="94A0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43FB7"/>
    <w:multiLevelType w:val="hybridMultilevel"/>
    <w:tmpl w:val="7F80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F0097"/>
    <w:multiLevelType w:val="multilevel"/>
    <w:tmpl w:val="BC0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2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27"/>
  </w:num>
  <w:num w:numId="10">
    <w:abstractNumId w:val="7"/>
  </w:num>
  <w:num w:numId="11">
    <w:abstractNumId w:val="24"/>
  </w:num>
  <w:num w:numId="12">
    <w:abstractNumId w:val="8"/>
  </w:num>
  <w:num w:numId="13">
    <w:abstractNumId w:val="2"/>
  </w:num>
  <w:num w:numId="14">
    <w:abstractNumId w:val="23"/>
  </w:num>
  <w:num w:numId="15">
    <w:abstractNumId w:val="20"/>
  </w:num>
  <w:num w:numId="16">
    <w:abstractNumId w:val="15"/>
  </w:num>
  <w:num w:numId="17">
    <w:abstractNumId w:val="14"/>
  </w:num>
  <w:num w:numId="18">
    <w:abstractNumId w:val="3"/>
  </w:num>
  <w:num w:numId="19">
    <w:abstractNumId w:val="0"/>
  </w:num>
  <w:num w:numId="20">
    <w:abstractNumId w:val="12"/>
  </w:num>
  <w:num w:numId="21">
    <w:abstractNumId w:val="21"/>
  </w:num>
  <w:num w:numId="22">
    <w:abstractNumId w:val="16"/>
  </w:num>
  <w:num w:numId="23">
    <w:abstractNumId w:val="19"/>
  </w:num>
  <w:num w:numId="24">
    <w:abstractNumId w:val="6"/>
  </w:num>
  <w:num w:numId="25">
    <w:abstractNumId w:val="18"/>
  </w:num>
  <w:num w:numId="26">
    <w:abstractNumId w:val="25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0"/>
    <w:rsid w:val="000530E6"/>
    <w:rsid w:val="00127579"/>
    <w:rsid w:val="001839B0"/>
    <w:rsid w:val="001B4745"/>
    <w:rsid w:val="001C3A3C"/>
    <w:rsid w:val="001D55B6"/>
    <w:rsid w:val="001E689A"/>
    <w:rsid w:val="0058223E"/>
    <w:rsid w:val="00624E44"/>
    <w:rsid w:val="00627EE8"/>
    <w:rsid w:val="0071049F"/>
    <w:rsid w:val="0073790B"/>
    <w:rsid w:val="00771614"/>
    <w:rsid w:val="007C2F7D"/>
    <w:rsid w:val="007F2560"/>
    <w:rsid w:val="00957FF9"/>
    <w:rsid w:val="009B2D53"/>
    <w:rsid w:val="009B5E44"/>
    <w:rsid w:val="009F10A9"/>
    <w:rsid w:val="00A30B0C"/>
    <w:rsid w:val="00A46DA6"/>
    <w:rsid w:val="00C27245"/>
    <w:rsid w:val="00CE4020"/>
    <w:rsid w:val="00D606AD"/>
    <w:rsid w:val="00D67691"/>
    <w:rsid w:val="00E11C83"/>
    <w:rsid w:val="00E54237"/>
    <w:rsid w:val="00E7647A"/>
    <w:rsid w:val="00EB0B1A"/>
    <w:rsid w:val="00EB2FCB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4"/>
  </w:style>
  <w:style w:type="paragraph" w:styleId="1">
    <w:name w:val="heading 1"/>
    <w:basedOn w:val="a"/>
    <w:link w:val="10"/>
    <w:uiPriority w:val="9"/>
    <w:qFormat/>
    <w:rsid w:val="00E5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2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1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1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49F"/>
  </w:style>
  <w:style w:type="paragraph" w:styleId="a9">
    <w:name w:val="footer"/>
    <w:basedOn w:val="a"/>
    <w:link w:val="aa"/>
    <w:uiPriority w:val="99"/>
    <w:unhideWhenUsed/>
    <w:rsid w:val="007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49F"/>
  </w:style>
  <w:style w:type="character" w:styleId="ab">
    <w:name w:val="Hyperlink"/>
    <w:basedOn w:val="a0"/>
    <w:uiPriority w:val="99"/>
    <w:semiHidden/>
    <w:unhideWhenUsed/>
    <w:rsid w:val="00D606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2D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9B2D53"/>
    <w:pPr>
      <w:ind w:left="720"/>
      <w:contextualSpacing/>
    </w:pPr>
  </w:style>
  <w:style w:type="paragraph" w:customStyle="1" w:styleId="has-medium-font-size">
    <w:name w:val="has-medium-font-size"/>
    <w:basedOn w:val="a"/>
    <w:rsid w:val="00A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4"/>
  </w:style>
  <w:style w:type="paragraph" w:styleId="1">
    <w:name w:val="heading 1"/>
    <w:basedOn w:val="a"/>
    <w:link w:val="10"/>
    <w:uiPriority w:val="9"/>
    <w:qFormat/>
    <w:rsid w:val="00E5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2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1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1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49F"/>
  </w:style>
  <w:style w:type="paragraph" w:styleId="a9">
    <w:name w:val="footer"/>
    <w:basedOn w:val="a"/>
    <w:link w:val="aa"/>
    <w:uiPriority w:val="99"/>
    <w:unhideWhenUsed/>
    <w:rsid w:val="0071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49F"/>
  </w:style>
  <w:style w:type="character" w:styleId="ab">
    <w:name w:val="Hyperlink"/>
    <w:basedOn w:val="a0"/>
    <w:uiPriority w:val="99"/>
    <w:semiHidden/>
    <w:unhideWhenUsed/>
    <w:rsid w:val="00D606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2D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9B2D53"/>
    <w:pPr>
      <w:ind w:left="720"/>
      <w:contextualSpacing/>
    </w:pPr>
  </w:style>
  <w:style w:type="paragraph" w:customStyle="1" w:styleId="has-medium-font-size">
    <w:name w:val="has-medium-font-size"/>
    <w:basedOn w:val="a"/>
    <w:rsid w:val="00A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dcterms:created xsi:type="dcterms:W3CDTF">2022-02-20T17:44:00Z</dcterms:created>
  <dcterms:modified xsi:type="dcterms:W3CDTF">2022-09-22T08:21:00Z</dcterms:modified>
</cp:coreProperties>
</file>