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56ED" w:rsidRDefault="003756ED" w:rsidP="003756ED">
      <w:pPr>
        <w:jc w:val="center"/>
        <w:rPr>
          <w:b/>
          <w:color w:val="FF0000"/>
          <w:u w:val="single"/>
          <w:lang w:val="uk-UA"/>
        </w:rPr>
      </w:pPr>
      <w:r w:rsidRPr="003756ED">
        <w:rPr>
          <w:b/>
          <w:color w:val="FF0000"/>
          <w:u w:val="single"/>
          <w:lang w:val="uk-UA"/>
        </w:rPr>
        <w:t>Опорний конспект з теми : «Математичний маятник. Період коливань математичного маятника»</w:t>
      </w:r>
    </w:p>
    <w:p w:rsidR="003756ED" w:rsidRPr="003756ED" w:rsidRDefault="003756ED">
      <w:pPr>
        <w:rPr>
          <w:lang w:val="uk-UA"/>
        </w:rPr>
      </w:pPr>
      <w:r w:rsidRPr="003756ED">
        <w:rPr>
          <w:lang w:val="uk-UA"/>
        </w:rPr>
        <w:drawing>
          <wp:inline distT="0" distB="0" distL="0" distR="0">
            <wp:extent cx="5940425" cy="8091658"/>
            <wp:effectExtent l="0" t="0" r="317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91516" cy="6429420"/>
                      <a:chOff x="428596" y="142852"/>
                      <a:chExt cx="7991516" cy="6429420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428596" y="142852"/>
                        <a:ext cx="5857916" cy="92869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>
                          <a:scene3d>
                            <a:camera prst="orthographicFront"/>
                            <a:lightRig rig="soft" dir="tl">
                              <a:rot lat="0" lon="0" rev="0"/>
                            </a:lightRig>
                          </a:scene3d>
                          <a:sp3d contourW="25400" prstMaterial="matte">
                            <a:bevelT w="25400" h="55880" prst="artDeco"/>
                            <a:contourClr>
                              <a:schemeClr val="accent2">
                                <a:tint val="20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uk-UA" sz="1400" b="1" spc="50" dirty="0" smtClean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u="sng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Маятником</a:t>
                          </a:r>
                          <a:r>
                            <a:rPr lang="uk-UA" sz="1400" b="1" spc="50" dirty="0" smtClean="0">
                              <a:ln w="11430"/>
                              <a:gradFill>
                                <a:gsLst>
                                  <a:gs pos="25000">
                                    <a:schemeClr val="accent2">
                                      <a:satMod val="155000"/>
                                    </a:schemeClr>
                                  </a:gs>
                                  <a:gs pos="100000">
                                    <a:schemeClr val="accent2">
                                      <a:shade val="45000"/>
                                      <a:satMod val="16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  </a:t>
                          </a:r>
                          <a:r>
                            <a:rPr lang="uk-UA" sz="1400" b="1" spc="50" dirty="0" smtClean="0">
                              <a:ln w="11430"/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effectLst>
                                <a:outerShdw blurRad="76200" dist="50800" dir="5400000" algn="tl" rotWithShape="0">
                                  <a:srgbClr val="000000">
                                    <a:alpha val="65000"/>
                                  </a:srgbClr>
                                </a:outerShdw>
                              </a:effectLst>
                            </a:rPr>
                            <a:t>називають будь  - яке тіло, підвішене таким чином, що його центр тяжіння перебуває нижче точки підвісу.</a:t>
                          </a:r>
                          <a:endParaRPr lang="ru-RU" sz="1400" b="1" spc="50" dirty="0" smtClean="0">
                            <a:ln w="11430"/>
                            <a:solidFill>
                              <a:schemeClr val="accent6">
                                <a:lumMod val="50000"/>
                              </a:schemeClr>
                            </a:soli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  <a:p>
                          <a:pPr algn="ctr"/>
                          <a:endParaRPr lang="ru-RU" b="1" spc="50" dirty="0">
                            <a:ln w="11430"/>
                            <a:gradFill>
                              <a:gsLst>
                                <a:gs pos="25000">
                                  <a:schemeClr val="accent2">
                                    <a:satMod val="155000"/>
                                  </a:schemeClr>
                                </a:gs>
                                <a:gs pos="100000">
                                  <a:schemeClr val="accent2">
                                    <a:shade val="45000"/>
                                    <a:satMod val="16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outerShdw blurRad="76200" dist="50800" dir="5400000" algn="tl" rotWithShape="0">
                                <a:srgbClr val="000000">
                                  <a:alpha val="65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428596" y="1571612"/>
                        <a:ext cx="4929222" cy="185738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dirty="0" smtClean="0">
                              <a:ln w="1905"/>
                              <a:solidFill>
                                <a:srgbClr val="FF0000"/>
                              </a:soli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Математичний маятник </a:t>
                          </a:r>
                          <a:r>
                            <a:rPr lang="uk-UA" sz="1400" b="1" dirty="0" smtClean="0">
                              <a:ln w="1905"/>
                              <a:gradFill>
                                <a:gsLst>
                                  <a:gs pos="0">
                                    <a:schemeClr val="accent6">
                                      <a:shade val="20000"/>
                                      <a:satMod val="200000"/>
                                    </a:schemeClr>
                                  </a:gs>
                                  <a:gs pos="78000">
                                    <a:schemeClr val="accent6">
                                      <a:tint val="90000"/>
                                      <a:shade val="89000"/>
                                      <a:satMod val="220000"/>
                                    </a:schemeClr>
                                  </a:gs>
                                  <a:gs pos="100000">
                                    <a:schemeClr val="accent6">
                                      <a:tint val="12000"/>
                                      <a:satMod val="25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innerShdw blurRad="69850" dist="43180" dir="5400000">
                                  <a:srgbClr val="000000">
                                    <a:alpha val="65000"/>
                                  </a:srgbClr>
                                </a:innerShdw>
                              </a:effectLst>
                            </a:rPr>
                            <a:t>– це модель ниткового маятника(вантажу на нерозтяжній нитці),для якого маса вантажу набагато більша за масу нитки,а довжина нитки набагато більша за розміри вантажу.</a:t>
                          </a:r>
                          <a:endParaRPr lang="ru-RU" sz="1400" b="1" dirty="0">
                            <a:ln w="1905"/>
                            <a:gradFill>
                              <a:gsLst>
                                <a:gs pos="0">
                                  <a:schemeClr val="accent6">
                                    <a:shade val="20000"/>
                                    <a:satMod val="200000"/>
                                  </a:schemeClr>
                                </a:gs>
                                <a:gs pos="78000">
                                  <a:schemeClr val="accent6">
                                    <a:tint val="90000"/>
                                    <a:shade val="89000"/>
                                    <a:satMod val="220000"/>
                                  </a:schemeClr>
                                </a:gs>
                                <a:gs pos="100000">
                                  <a:schemeClr val="accent6">
                                    <a:tint val="12000"/>
                                    <a:satMod val="25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innerShdw blurRad="69850" dist="43180" dir="5400000">
                                <a:srgbClr val="000000">
                                  <a:alpha val="65000"/>
                                </a:srgbClr>
                              </a:innerShdw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428596" y="3929066"/>
                        <a:ext cx="5429288" cy="264320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400" b="1" u="sng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solidFill>
                                <a:srgbClr val="FF0000"/>
                              </a:soli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Формула періоду коливань математичного маятника:</a:t>
                          </a:r>
                          <a:endParaRPr lang="en-US" sz="1400" b="1" u="sng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solidFill>
                              <a:srgbClr val="FF0000"/>
                            </a:soli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endParaRPr lang="uk-UA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cap="all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коливань не залежить від маси маятника та амплітуди його коливань.</a:t>
                          </a:r>
                        </a:p>
                        <a:p>
                          <a:pPr algn="ctr"/>
                          <a:endParaRPr lang="ru-RU" sz="1400" b="1" cap="all" dirty="0" smtClean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  <a:p>
                          <a:pPr algn="ctr"/>
                          <a:r>
                            <a:rPr lang="uk-UA" sz="1400" b="1" dirty="0" smtClean="0">
                              <a:ln w="9000" cmpd="sng">
                                <a:solidFill>
                                  <a:schemeClr val="accent4">
                                    <a:shade val="50000"/>
                                    <a:satMod val="120000"/>
                                  </a:schemeClr>
                                </a:solidFill>
                                <a:prstDash val="solid"/>
                              </a:ln>
                              <a:gradFill>
                                <a:gsLst>
                                  <a:gs pos="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  <a:gs pos="43000">
                                    <a:schemeClr val="accent4">
                                      <a:satMod val="255000"/>
                                    </a:schemeClr>
                                  </a:gs>
                                  <a:gs pos="48000">
                                    <a:schemeClr val="accent4">
                                      <a:shade val="85000"/>
                                      <a:satMod val="255000"/>
                                    </a:schemeClr>
                                  </a:gs>
                                  <a:gs pos="100000">
                                    <a:schemeClr val="accent4">
                                      <a:shade val="20000"/>
                                      <a:satMod val="245000"/>
                                    </a:schemeClr>
                                  </a:gs>
                                </a:gsLst>
                                <a:lin ang="5400000"/>
                              </a:gradFill>
                              <a:effectLst>
                                <a:reflection blurRad="12700" stA="28000" endPos="45000" dist="1000" dir="5400000" sy="-100000" algn="bl" rotWithShape="0"/>
                              </a:effectLst>
                            </a:rPr>
                            <a:t>ПЕРІОД  КОЛИВАНЬ ЗАЛЕЖИТЬ ВІД ДОВЖИНИ НИТКИ ТА ПРИСКОРЕННЯ ВІЛЬНОГО ПАДІННЯ.</a:t>
                          </a:r>
                          <a:endParaRPr lang="ru-RU" sz="1400" b="1" dirty="0">
                            <a:ln w="9000" cmpd="sng">
                              <a:solidFill>
                                <a:schemeClr val="accent4">
                                  <a:shade val="50000"/>
                                  <a:satMod val="120000"/>
                                </a:schemeClr>
                              </a:solidFill>
                              <a:prstDash val="solid"/>
                            </a:ln>
                            <a:gradFill>
                              <a:gsLst>
                                <a:gs pos="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  <a:gs pos="43000">
                                  <a:schemeClr val="accent4">
                                    <a:satMod val="255000"/>
                                  </a:schemeClr>
                                </a:gs>
                                <a:gs pos="48000">
                                  <a:schemeClr val="accent4">
                                    <a:shade val="85000"/>
                                    <a:satMod val="255000"/>
                                  </a:schemeClr>
                                </a:gs>
                                <a:gs pos="100000">
                                  <a:schemeClr val="accent4">
                                    <a:shade val="20000"/>
                                    <a:satMod val="245000"/>
                                  </a:schemeClr>
                                </a:gs>
                              </a:gsLst>
                              <a:lin ang="5400000"/>
                            </a:gradFill>
                            <a:effectLst>
                              <a:reflection blurRad="12700" stA="28000" endPos="45000" dist="1000" dir="5400000" sy="-100000" algn="bl" rotWithShape="0"/>
                            </a:effectLst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31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18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1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324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13325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4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428860" y="4572008"/>
                        <a:ext cx="1428760" cy="71438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13327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0" y="981075"/>
                        <a:ext cx="9144000" cy="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4" name="Прямая со стрелкой 23"/>
                      <a:cNvCxnSpPr/>
                    </a:nvCxnSpPr>
                    <a:spPr>
                      <a:xfrm rot="5400000">
                        <a:off x="2536414" y="1321182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1" name="Прямая со стрелкой 30"/>
                      <a:cNvCxnSpPr/>
                    </a:nvCxnSpPr>
                    <a:spPr>
                      <a:xfrm rot="5400000">
                        <a:off x="2536414" y="3678636"/>
                        <a:ext cx="50006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3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286512" y="1142984"/>
                        <a:ext cx="2133600" cy="47529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style>
                      <a:lnRef idx="0">
                        <a:schemeClr val="dk1"/>
                      </a:lnRef>
                      <a:fillRef idx="3">
                        <a:schemeClr val="dk1"/>
                      </a:fillRef>
                      <a:effectRef idx="3">
                        <a:schemeClr val="dk1"/>
                      </a:effectRef>
                      <a:fontRef idx="minor">
                        <a:schemeClr val="lt1"/>
                      </a:fontRef>
                    </a:style>
                  </a:pic>
                </lc:lockedCanvas>
              </a:graphicData>
            </a:graphic>
          </wp:inline>
        </w:drawing>
      </w:r>
    </w:p>
    <w:sectPr w:rsidR="003756ED" w:rsidRPr="0037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756ED"/>
    <w:rsid w:val="000320F5"/>
    <w:rsid w:val="0037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2014-02-05T08:26:00Z</cp:lastPrinted>
  <dcterms:created xsi:type="dcterms:W3CDTF">2014-02-05T08:24:00Z</dcterms:created>
  <dcterms:modified xsi:type="dcterms:W3CDTF">2014-02-05T09:06:00Z</dcterms:modified>
</cp:coreProperties>
</file>