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67A52" w:rsidRDefault="00A67A52" w:rsidP="00A67A52">
      <w:pPr>
        <w:ind w:left="-1418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-1069036</wp:posOffset>
            </wp:positionH>
            <wp:positionV relativeFrom="paragraph">
              <wp:posOffset>-720090</wp:posOffset>
            </wp:positionV>
            <wp:extent cx="7550591" cy="10694504"/>
            <wp:effectExtent l="19050" t="0" r="0" b="0"/>
            <wp:wrapNone/>
            <wp:docPr id="2" name="Рисунок 1" descr="G:\маятник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маятник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4136" cy="1069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A52">
        <w:rPr>
          <w:lang w:val="uk-UA"/>
        </w:rPr>
        <w:drawing>
          <wp:inline distT="0" distB="0" distL="0" distR="0">
            <wp:extent cx="6257677" cy="8523798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91516" cy="6429420"/>
                      <a:chOff x="428596" y="142852"/>
                      <a:chExt cx="7991516" cy="6429420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428596" y="142852"/>
                        <a:ext cx="5857916" cy="928694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uk-UA" sz="1400" b="1" spc="50" dirty="0" smtClean="0">
                            <a:ln w="11430"/>
                            <a:gradFill>
                              <a:gsLst>
                                <a:gs pos="25000">
                                  <a:schemeClr val="accent2">
                                    <a:satMod val="155000"/>
                                  </a:schemeClr>
                                </a:gs>
                                <a:gs pos="100000">
                                  <a:schemeClr val="accent2">
                                    <a:shade val="45000"/>
                                    <a:satMod val="16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u="sng" spc="50" dirty="0" smtClean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Маятником</a:t>
                          </a:r>
                          <a:r>
                            <a:rPr lang="uk-UA" sz="1400" b="1" spc="50" dirty="0" smtClean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  </a:t>
                          </a:r>
                          <a:r>
                            <a:rPr lang="uk-UA" sz="1400" b="1" spc="50" dirty="0" smtClean="0">
                              <a:ln w="11430"/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називають будь  - яке тіло, підвішене таким чином, що його центр тяжіння перебуває нижче точки підвісу.</a:t>
                          </a:r>
                          <a:endParaRPr lang="ru-RU" sz="1400" b="1" spc="50" dirty="0" smtClean="0">
                            <a:ln w="11430"/>
                            <a:solidFill>
                              <a:schemeClr val="accent6">
                                <a:lumMod val="50000"/>
                              </a:schemeClr>
                            </a:soli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  <a:p>
                          <a:pPr algn="ctr"/>
                          <a:endParaRPr lang="ru-RU" b="1" spc="50" dirty="0">
                            <a:ln w="11430"/>
                            <a:gradFill>
                              <a:gsLst>
                                <a:gs pos="25000">
                                  <a:schemeClr val="accent2">
                                    <a:satMod val="155000"/>
                                  </a:schemeClr>
                                </a:gs>
                                <a:gs pos="100000">
                                  <a:schemeClr val="accent2">
                                    <a:shade val="45000"/>
                                    <a:satMod val="16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428596" y="1571612"/>
                        <a:ext cx="4929222" cy="185738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400" b="1" u="sng" dirty="0" smtClean="0">
                              <a:ln w="1905"/>
                              <a:solidFill>
                                <a:srgbClr val="FF0000"/>
                              </a:solidFill>
                              <a:effectLst>
                                <a:innerShdw blurRad="69850" dist="43180" dir="5400000">
                                  <a:srgbClr val="000000">
                                    <a:alpha val="65000"/>
                                  </a:srgbClr>
                                </a:innerShdw>
                              </a:effectLst>
                            </a:rPr>
                            <a:t>Математичний маятник </a:t>
                          </a:r>
                          <a:r>
                            <a:rPr lang="uk-UA" sz="1400" b="1" dirty="0" smtClean="0">
                              <a:ln w="1905"/>
                              <a:gradFill>
                                <a:gsLst>
                                  <a:gs pos="0">
                                    <a:schemeClr val="accent6">
                                      <a:shade val="20000"/>
                                      <a:satMod val="200000"/>
                                    </a:schemeClr>
                                  </a:gs>
                                  <a:gs pos="78000">
                                    <a:schemeClr val="accent6">
                                      <a:tint val="90000"/>
                                      <a:shade val="89000"/>
                                      <a:satMod val="220000"/>
                                    </a:schemeClr>
                                  </a:gs>
                                  <a:gs pos="100000">
                                    <a:schemeClr val="accent6">
                                      <a:tint val="12000"/>
                                      <a:satMod val="25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innerShdw blurRad="69850" dist="43180" dir="5400000">
                                  <a:srgbClr val="000000">
                                    <a:alpha val="65000"/>
                                  </a:srgbClr>
                                </a:innerShdw>
                              </a:effectLst>
                            </a:rPr>
                            <a:t>– це модель ниткового маятника(вантажу на нерозтяжній нитці),для якого маса вантажу набагато більша за масу нитки,а довжина нитки набагато більша за розміри вантажу.</a:t>
                          </a:r>
                          <a:endParaRPr lang="ru-RU" sz="1400" b="1" dirty="0">
                            <a:ln w="1905"/>
                            <a:gradFill>
                              <a:gsLst>
                                <a:gs pos="0">
                                  <a:schemeClr val="accent6">
                                    <a:shade val="20000"/>
                                    <a:satMod val="200000"/>
                                  </a:schemeClr>
                                </a:gs>
                                <a:gs pos="78000">
                                  <a:schemeClr val="accent6">
                                    <a:tint val="90000"/>
                                    <a:shade val="89000"/>
                                    <a:satMod val="220000"/>
                                  </a:schemeClr>
                                </a:gs>
                                <a:gs pos="100000">
                                  <a:schemeClr val="accent6">
                                    <a:tint val="12000"/>
                                    <a:satMod val="25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innerShdw blurRad="69850" dist="43180" dir="5400000">
                                <a:srgbClr val="000000">
                                  <a:alpha val="65000"/>
                                </a:srgbClr>
                              </a:inn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Прямоугольник 6"/>
                      <a:cNvSpPr/>
                    </a:nvSpPr>
                    <a:spPr>
                      <a:xfrm>
                        <a:off x="428596" y="3929066"/>
                        <a:ext cx="5429288" cy="264320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400" b="1" u="sng" cap="all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solidFill>
                                <a:srgbClr val="FF0000"/>
                              </a:soli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Формула періоду коливань математичного маятника:</a:t>
                          </a:r>
                          <a:endParaRPr lang="en-US" sz="1400" b="1" u="sng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solidFill>
                              <a:srgbClr val="FF0000"/>
                            </a:soli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ru-RU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cap="all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gradFill>
                                <a:gsLst>
                                  <a:gs pos="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  <a:gs pos="43000">
                                    <a:schemeClr val="accent4">
                                      <a:satMod val="255000"/>
                                    </a:schemeClr>
                                  </a:gs>
                                  <a:gs pos="48000">
                                    <a:schemeClr val="accent4">
                                      <a:shade val="85000"/>
                                      <a:satMod val="255000"/>
                                    </a:schemeClr>
                                  </a:gs>
                                  <a:gs pos="10000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Період коливань не залежить від маси маятника та амплітуди його коливань.</a:t>
                          </a:r>
                        </a:p>
                        <a:p>
                          <a:pPr algn="ctr"/>
                          <a:endParaRPr lang="ru-RU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gradFill>
                                <a:gsLst>
                                  <a:gs pos="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  <a:gs pos="43000">
                                    <a:schemeClr val="accent4">
                                      <a:satMod val="255000"/>
                                    </a:schemeClr>
                                  </a:gs>
                                  <a:gs pos="48000">
                                    <a:schemeClr val="accent4">
                                      <a:shade val="85000"/>
                                      <a:satMod val="255000"/>
                                    </a:schemeClr>
                                  </a:gs>
                                  <a:gs pos="10000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ПЕРІОД  КОЛИВАНЬ ЗАЛЕЖИТЬ ВІД ДОВЖИНИ НИТКИ ТА ПРИСКОРЕННЯ ВІЛЬНОГО ПАДІННЯ.</a:t>
                          </a:r>
                          <a:endParaRPr lang="ru-RU" sz="1400" b="1" dirty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31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18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21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24" name="Rectangle 12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13325" name="Picture 13"/>
                      <a:cNvPicPr>
                        <a:picLocks noChangeAspect="1" noChangeArrowheads="1"/>
                      </a:cNvPicPr>
                    </a:nvPicPr>
                    <a:blipFill>
                      <a:blip r:embed="rId5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428860" y="4572008"/>
                        <a:ext cx="1428760" cy="714380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13327" name="Rectangle 15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4" name="Прямая со стрелкой 23"/>
                      <a:cNvCxnSpPr/>
                    </a:nvCxnSpPr>
                    <a:spPr>
                      <a:xfrm rot="5400000">
                        <a:off x="2536414" y="1321182"/>
                        <a:ext cx="500066" cy="79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1" name="Прямая со стрелкой 30"/>
                      <a:cNvCxnSpPr/>
                    </a:nvCxnSpPr>
                    <a:spPr>
                      <a:xfrm rot="5400000">
                        <a:off x="2536414" y="3678636"/>
                        <a:ext cx="500066" cy="79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36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286512" y="1142984"/>
                        <a:ext cx="2133600" cy="47529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style>
                      <a:lnRef idx="0">
                        <a:schemeClr val="dk1"/>
                      </a:lnRef>
                      <a:fillRef idx="3">
                        <a:schemeClr val="dk1"/>
                      </a:fillRef>
                      <a:effectRef idx="3">
                        <a:schemeClr val="dk1"/>
                      </a:effectRef>
                      <a:fontRef idx="minor">
                        <a:schemeClr val="lt1"/>
                      </a:fontRef>
                    </a:style>
                  </a:pic>
                </lc:lockedCanvas>
              </a:graphicData>
            </a:graphic>
          </wp:inline>
        </w:drawing>
      </w:r>
    </w:p>
    <w:p w:rsidR="00A67A52" w:rsidRPr="00A67A52" w:rsidRDefault="00A67A52">
      <w:pPr>
        <w:rPr>
          <w:lang w:val="uk-UA"/>
        </w:rPr>
      </w:pPr>
    </w:p>
    <w:sectPr w:rsidR="00A67A52" w:rsidRPr="00A6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02043"/>
    <w:rsid w:val="00302043"/>
    <w:rsid w:val="00A6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A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2014-02-05T07:30:00Z</dcterms:created>
  <dcterms:modified xsi:type="dcterms:W3CDTF">2014-02-05T07:37:00Z</dcterms:modified>
</cp:coreProperties>
</file>