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EF7" w:rsidRPr="00B5554C" w:rsidRDefault="00D07EF7" w:rsidP="00B555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>(Слайд 1</w:t>
      </w:r>
      <w:r w:rsidR="0026677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Броунівський рух є одним із основних явищ, які підтверджують молекулярно-кінетичну теорію будови речовини. Дослідження броунівського руху в молоці у різному співвідношенні з водою є важливим для розуміння впливу густини та в’язкості середовища на хаотичний рух частинок.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Таке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досл</w:t>
      </w:r>
      <w:proofErr w:type="gram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ідження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сприяє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глибшому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розумінню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поведінки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колоїдних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 і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знайти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застосування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харчовій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промисловості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зокрема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оцінки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якості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молока та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розробки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нових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продуктів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7EF7" w:rsidRPr="00B5554C" w:rsidRDefault="00D07EF7" w:rsidP="00B555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(Слайд 2) </w:t>
      </w:r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Метою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даної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дослідження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впливу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співвідношення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молока і води на характер та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інтенсивність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броунівського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частинок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розчині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7EF7" w:rsidRPr="00B5554C" w:rsidRDefault="00D07EF7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Об’єкт</w:t>
      </w:r>
      <w:proofErr w:type="spellEnd"/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дослідження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частинки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входять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складу молока (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жирові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кульки,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білкові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агрегати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07EF7" w:rsidRPr="00B5554C" w:rsidRDefault="00D07EF7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proofErr w:type="spellStart"/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дослідження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динаміка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броунівського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частинок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молоці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різному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співвідношенні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водою.</w:t>
      </w:r>
    </w:p>
    <w:p w:rsidR="00D07EF7" w:rsidRPr="00B5554C" w:rsidRDefault="00D07EF7" w:rsidP="00B5554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(Слайд 3) </w:t>
      </w:r>
      <w:r w:rsidRPr="00B5554C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Для досягнення мети були поставлені наступні </w:t>
      </w:r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завдання</w:t>
      </w:r>
      <w:r w:rsidRPr="00B5554C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: </w:t>
      </w:r>
    </w:p>
    <w:p w:rsidR="00D07EF7" w:rsidRPr="00B5554C" w:rsidRDefault="00D07EF7" w:rsidP="00B55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1.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Ознайомитися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теоретичними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основами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явища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броунівського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7EF7" w:rsidRPr="00B5554C" w:rsidRDefault="00D07EF7" w:rsidP="00B55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Виготовити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мікропрепарат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спостереження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броунівського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7EF7" w:rsidRPr="00B5554C" w:rsidRDefault="00D07EF7" w:rsidP="00B55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3.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Створити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відеозаписи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експериментів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мікропрепарат</w:t>
      </w: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ами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07EF7" w:rsidRPr="00B5554C" w:rsidRDefault="00D07EF7" w:rsidP="00B55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4.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Використовуючи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програмне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відеоаналізу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отримати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траєкторії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кількох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броунівських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часток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7EF7" w:rsidRPr="00B5554C" w:rsidRDefault="00D07EF7" w:rsidP="00B55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5.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Проаналізувати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отримані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зробити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висновки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07EF7" w:rsidRPr="00B5554C" w:rsidRDefault="00D07EF7" w:rsidP="00B555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(Слайд 4) </w:t>
      </w:r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Наукова новизна:</w:t>
      </w: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Дослідження розкриває залежність інтенсивності броунівського руху частинок від концентрації молока у воді, що розширює уявлення про вплив фізичних параметрів середовища на хаотичний рух частинок у колоїдних системах.</w:t>
      </w:r>
    </w:p>
    <w:p w:rsidR="00D07EF7" w:rsidRPr="00B5554C" w:rsidRDefault="00D07EF7" w:rsidP="00B555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(Слайд 5) </w:t>
      </w:r>
      <w:proofErr w:type="spellStart"/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Практичне</w:t>
      </w:r>
      <w:proofErr w:type="spellEnd"/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значення</w:t>
      </w:r>
      <w:proofErr w:type="spellEnd"/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07EF7" w:rsidRPr="00B5554C" w:rsidRDefault="00D07EF7" w:rsidP="00B555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дослідження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можуть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бути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використані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A24D2" w:rsidRPr="00BA24D2" w:rsidRDefault="00BA24D2" w:rsidP="003D36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A24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харчовій промисловості — для визначення фізичних властивостей рідин та їхніх сумішей.</w:t>
      </w:r>
    </w:p>
    <w:p w:rsidR="00BA24D2" w:rsidRPr="00BA24D2" w:rsidRDefault="00BA24D2" w:rsidP="003D36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A24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фармацевтиці — для оцінки властивостей суспензій і емульсій.</w:t>
      </w:r>
    </w:p>
    <w:p w:rsidR="00BA24D2" w:rsidRDefault="00BA24D2" w:rsidP="003D36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A24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біофізиці — для аналізу поведінки мікрочастинок у рідинах із різними фізико-хімічними характеристиками.</w:t>
      </w:r>
    </w:p>
    <w:p w:rsidR="00375EB3" w:rsidRPr="00B5554C" w:rsidRDefault="00BA24D2" w:rsidP="00B5554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D07EF7" w:rsidRPr="00B5554C">
        <w:rPr>
          <w:rFonts w:ascii="Times New Roman" w:hAnsi="Times New Roman"/>
          <w:b/>
          <w:sz w:val="24"/>
          <w:szCs w:val="24"/>
          <w:lang w:val="uk-UA"/>
        </w:rPr>
        <w:t xml:space="preserve">(Слайд 6) </w:t>
      </w:r>
      <w:r w:rsidR="00D07EF7" w:rsidRPr="00B5554C">
        <w:rPr>
          <w:rFonts w:ascii="Times New Roman" w:hAnsi="Times New Roman"/>
          <w:sz w:val="24"/>
          <w:szCs w:val="24"/>
          <w:lang w:val="uk-UA"/>
        </w:rPr>
        <w:t xml:space="preserve">Броунівський рух, відкритий Робертом </w:t>
      </w:r>
      <w:proofErr w:type="spellStart"/>
      <w:r w:rsidR="00D07EF7" w:rsidRPr="00B5554C">
        <w:rPr>
          <w:rFonts w:ascii="Times New Roman" w:hAnsi="Times New Roman"/>
          <w:sz w:val="24"/>
          <w:szCs w:val="24"/>
          <w:lang w:val="uk-UA"/>
        </w:rPr>
        <w:t>Броуном</w:t>
      </w:r>
      <w:proofErr w:type="spellEnd"/>
      <w:r w:rsidR="00D07EF7" w:rsidRPr="00B5554C">
        <w:rPr>
          <w:rFonts w:ascii="Times New Roman" w:hAnsi="Times New Roman"/>
          <w:sz w:val="24"/>
          <w:szCs w:val="24"/>
          <w:lang w:val="uk-UA"/>
        </w:rPr>
        <w:t xml:space="preserve"> у 1827 році, став першим доказом динамічної природи мікрочастинок. У 1905 році Альберт Ейнштейн створив математичну модель явища, пов’язавши його з тепловими коливаннями молекул, що стало основою статистичної механіки. Жан </w:t>
      </w:r>
      <w:proofErr w:type="spellStart"/>
      <w:r w:rsidR="00D07EF7" w:rsidRPr="00B5554C">
        <w:rPr>
          <w:rFonts w:ascii="Times New Roman" w:hAnsi="Times New Roman"/>
          <w:sz w:val="24"/>
          <w:szCs w:val="24"/>
          <w:lang w:val="uk-UA"/>
        </w:rPr>
        <w:t>Перрен</w:t>
      </w:r>
      <w:proofErr w:type="spellEnd"/>
      <w:r w:rsidR="00D07EF7" w:rsidRPr="00B5554C">
        <w:rPr>
          <w:rFonts w:ascii="Times New Roman" w:hAnsi="Times New Roman"/>
          <w:sz w:val="24"/>
          <w:szCs w:val="24"/>
          <w:lang w:val="uk-UA"/>
        </w:rPr>
        <w:t xml:space="preserve"> експериментально підтвердив модель і отримав Нобелівську премію в 1926 році. Українські вчені, як-от Ілля Тархан і Микола Пилипенко, досліджували броунівський рух у колоїдній хімії та гідродинаміці, роблячи внесок у теорію дисперсних систем.</w:t>
      </w:r>
    </w:p>
    <w:p w:rsidR="00D07EF7" w:rsidRPr="00B5554C" w:rsidRDefault="00D07EF7" w:rsidP="00B5554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(Слайд 7) </w:t>
      </w:r>
      <w:r w:rsidRPr="00B5554C">
        <w:rPr>
          <w:rFonts w:ascii="Times New Roman" w:hAnsi="Times New Roman"/>
          <w:sz w:val="24"/>
          <w:szCs w:val="24"/>
          <w:lang w:val="uk-UA"/>
        </w:rPr>
        <w:t>Броунівський рух виникає через випадкові зіткнення молекул середовища з мікрочастинками, зумовлені тепловими флуктуаціями. Ці нерівномірні впливи створюють хаотичний рух. На слайді представлені деякі фізичні параметри, які впливають на броунівський рух.</w:t>
      </w:r>
    </w:p>
    <w:p w:rsidR="00D07EF7" w:rsidRPr="00B5554C" w:rsidRDefault="00D07EF7" w:rsidP="00B555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(Слайд 8) </w:t>
      </w:r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експерименту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використовували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обладнання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наведене на слайді.</w:t>
      </w:r>
    </w:p>
    <w:p w:rsidR="00D07EF7" w:rsidRPr="00B5554C" w:rsidRDefault="00D07EF7" w:rsidP="00BA24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 (Слайд 9)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Готували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розчини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молока з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різним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співвідношенням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молока до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дистильованої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води (1:1</w:t>
      </w: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</w:t>
      </w:r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, 1:</w:t>
      </w: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15</w:t>
      </w:r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, 1:</w:t>
      </w: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20</w:t>
      </w:r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07EF7" w:rsidRPr="00B5554C" w:rsidRDefault="00D07EF7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кожного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зразка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ретельно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перемішували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рівномірного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розподілу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частинок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7EF7" w:rsidRPr="00B5554C" w:rsidRDefault="00D07EF7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(Слайд 10)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Кожен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зразок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наносили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піпеткою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чисте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предметне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скельце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кількості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1–2 крап</w:t>
      </w:r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лі</w:t>
      </w:r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7EF7" w:rsidRPr="00B5554C" w:rsidRDefault="00D07EF7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Накривали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накривним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скельцем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уникаючи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утворення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повітряних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бульбашок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07EF7" w:rsidRPr="00B5554C" w:rsidRDefault="00D07EF7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Зразки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розглядали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мікроскопом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збільшенні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×40.</w:t>
      </w:r>
    </w:p>
    <w:p w:rsidR="00D07EF7" w:rsidRPr="00B5554C" w:rsidRDefault="00D07EF7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(Слайд 11)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Записували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відео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частинок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допомогою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вбудованої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закріплено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</w:t>
      </w:r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окулярі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07EF7" w:rsidRPr="00B5554C" w:rsidRDefault="00D07EF7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(Слайд 12)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Відеозаписи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переносили у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програмне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Tracke</w:t>
      </w:r>
      <w:proofErr w:type="spellEnd"/>
      <w:r w:rsidR="00BA24D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B5554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траєкторій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частинок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визначення середньої швидкості руху молекул.</w:t>
      </w:r>
    </w:p>
    <w:p w:rsidR="00D07EF7" w:rsidRPr="00B5554C" w:rsidRDefault="00D07EF7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Експериментальні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спостереження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дозволили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отримати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траєкторії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броунівського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частинок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молочних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жирових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кульок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водних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розчинах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різної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концентрації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(1:10, 1:15, 1:20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молоко:вода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BA24D2" w:rsidRDefault="00D07EF7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(Слайд 13) </w:t>
      </w:r>
      <w:r w:rsidR="00BA24D2">
        <w:rPr>
          <w:rFonts w:ascii="Times New Roman" w:hAnsi="Times New Roman"/>
          <w:b/>
          <w:sz w:val="24"/>
          <w:szCs w:val="24"/>
          <w:lang w:val="uk-UA"/>
        </w:rPr>
        <w:t>Для руху частинок у співвідношенні 1:10 характерні п</w:t>
      </w:r>
      <w:proofErr w:type="spellStart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>овільні</w:t>
      </w:r>
      <w:proofErr w:type="spellEnd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короткі</w:t>
      </w:r>
      <w:proofErr w:type="spellEnd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>зигзагоподібні</w:t>
      </w:r>
      <w:proofErr w:type="spellEnd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траєкторії</w:t>
      </w:r>
      <w:proofErr w:type="spellEnd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</w:t>
      </w:r>
      <w:proofErr w:type="spellStart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високу</w:t>
      </w:r>
      <w:proofErr w:type="spellEnd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>в'язкість</w:t>
      </w:r>
      <w:proofErr w:type="spellEnd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A24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Інтенсивність руху при цьому н</w:t>
      </w:r>
      <w:proofErr w:type="spellStart"/>
      <w:r w:rsid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>айменша</w:t>
      </w:r>
      <w:proofErr w:type="spellEnd"/>
      <w:r w:rsidR="00BA24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простежуються </w:t>
      </w:r>
      <w:proofErr w:type="spellStart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короткі</w:t>
      </w:r>
      <w:proofErr w:type="spellEnd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відстані</w:t>
      </w:r>
      <w:proofErr w:type="spellEnd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одиницю</w:t>
      </w:r>
      <w:proofErr w:type="spellEnd"/>
      <w:r w:rsidR="00BA24D2" w:rsidRPr="00BA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часу.</w:t>
      </w:r>
    </w:p>
    <w:p w:rsidR="00BA24D2" w:rsidRPr="00BA24D2" w:rsidRDefault="00BA24D2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(Слайд 14) </w:t>
      </w:r>
      <w:r w:rsidRPr="003D36A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 розчині 1:15 спостерігаються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</w:t>
      </w:r>
      <w:r w:rsidRPr="00BA24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аотичніші траєкторії з вищою амплітудою та швидкістю через зменшення опору середовища.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Встановлено з</w:t>
      </w:r>
      <w:r w:rsidRPr="00BA24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ростання швидкості на 50% порівняно з 1:10.</w:t>
      </w:r>
    </w:p>
    <w:p w:rsidR="00BA24D2" w:rsidRPr="00BA24D2" w:rsidRDefault="00BA24D2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>(Слайд 15)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D36AD">
        <w:rPr>
          <w:rFonts w:ascii="Times New Roman" w:hAnsi="Times New Roman"/>
          <w:b/>
          <w:sz w:val="24"/>
          <w:szCs w:val="24"/>
          <w:lang w:val="uk-UA"/>
        </w:rPr>
        <w:t>Частинки у р</w:t>
      </w:r>
      <w:proofErr w:type="spellStart"/>
      <w:r w:rsidRPr="003D3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озчин</w:t>
      </w:r>
      <w:proofErr w:type="spellEnd"/>
      <w:r w:rsidRPr="003D36A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3D3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1:20</w:t>
      </w:r>
      <w:r w:rsidRPr="003D36A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характеризуються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максимальною свободою руху, довгими траєкторіями</w:t>
      </w:r>
      <w:r w:rsidRPr="00BA24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частими змінами напрямків.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даній концентрації </w:t>
      </w:r>
      <w:r w:rsidR="002B12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встановлена найвища активність та</w:t>
      </w:r>
      <w:r w:rsidR="002B122E" w:rsidRPr="002B12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мінімальний опір середовища.</w:t>
      </w:r>
    </w:p>
    <w:p w:rsidR="00BA24D2" w:rsidRPr="002B122E" w:rsidRDefault="002B122E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122E">
        <w:rPr>
          <w:rFonts w:ascii="Times New Roman" w:hAnsi="Times New Roman" w:cs="Times New Roman"/>
          <w:sz w:val="24"/>
          <w:lang w:val="uk-UA"/>
        </w:rPr>
        <w:t>Зниження концентрації молока зменшує в'язкість і підвищує інтенсивність броунівського руху, що підтверджується теоретичною моделлю та графіками.</w:t>
      </w:r>
    </w:p>
    <w:p w:rsidR="002B122E" w:rsidRDefault="002B122E" w:rsidP="002B122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B5554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(Слайд 16</w:t>
      </w:r>
      <w:r w:rsidR="00D07EF7" w:rsidRPr="00B5554C">
        <w:rPr>
          <w:rFonts w:ascii="Times New Roman" w:hAnsi="Times New Roman"/>
          <w:b/>
          <w:sz w:val="24"/>
          <w:szCs w:val="24"/>
          <w:lang w:val="uk-UA"/>
        </w:rPr>
        <w:t xml:space="preserve">) </w:t>
      </w:r>
      <w:r w:rsidRPr="002B122E">
        <w:rPr>
          <w:rFonts w:ascii="Times New Roman" w:hAnsi="Times New Roman"/>
          <w:sz w:val="24"/>
          <w:szCs w:val="24"/>
          <w:lang w:val="uk-UA"/>
        </w:rPr>
        <w:t>Аналіз середньої швидкості руху частинок у р</w:t>
      </w:r>
      <w:r>
        <w:rPr>
          <w:rFonts w:ascii="Times New Roman" w:hAnsi="Times New Roman"/>
          <w:sz w:val="24"/>
          <w:szCs w:val="24"/>
          <w:lang w:val="uk-UA"/>
        </w:rPr>
        <w:t>озчинах молока та води показав, що у співвідношення 1:10 с</w:t>
      </w:r>
      <w:r w:rsidRPr="002B122E">
        <w:rPr>
          <w:rFonts w:ascii="Times New Roman" w:hAnsi="Times New Roman"/>
          <w:sz w:val="24"/>
          <w:szCs w:val="24"/>
          <w:lang w:val="uk-UA"/>
        </w:rPr>
        <w:t>ере</w:t>
      </w:r>
      <w:r>
        <w:rPr>
          <w:rFonts w:ascii="Times New Roman" w:hAnsi="Times New Roman"/>
          <w:sz w:val="24"/>
          <w:szCs w:val="24"/>
          <w:lang w:val="uk-UA"/>
        </w:rPr>
        <w:t xml:space="preserve">дня швидкість становить 70 м/с і </w:t>
      </w:r>
      <w:r w:rsidRPr="002B122E">
        <w:rPr>
          <w:rFonts w:ascii="Times New Roman" w:hAnsi="Times New Roman"/>
          <w:sz w:val="24"/>
          <w:szCs w:val="24"/>
          <w:lang w:val="uk-UA"/>
        </w:rPr>
        <w:t>є найнижчим значенням.</w:t>
      </w:r>
    </w:p>
    <w:p w:rsidR="002B122E" w:rsidRPr="002B122E" w:rsidRDefault="002B122E" w:rsidP="002B122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 співвідношенні 1:15 ш</w:t>
      </w:r>
      <w:r w:rsidRPr="002B122E">
        <w:rPr>
          <w:rFonts w:ascii="Times New Roman" w:hAnsi="Times New Roman"/>
          <w:sz w:val="24"/>
          <w:szCs w:val="24"/>
          <w:lang w:val="uk-UA"/>
        </w:rPr>
        <w:t>видкість збільшується до 150 м/с, що вдвічі більше порівняно з</w:t>
      </w:r>
      <w:r>
        <w:rPr>
          <w:rFonts w:ascii="Times New Roman" w:hAnsi="Times New Roman"/>
          <w:sz w:val="24"/>
          <w:szCs w:val="24"/>
          <w:lang w:val="uk-UA"/>
        </w:rPr>
        <w:t xml:space="preserve"> попереднім співвідношенням.</w:t>
      </w:r>
      <w:r w:rsidRPr="002B122E">
        <w:rPr>
          <w:rFonts w:ascii="Times New Roman" w:hAnsi="Times New Roman"/>
          <w:sz w:val="24"/>
          <w:szCs w:val="24"/>
          <w:lang w:val="uk-UA"/>
        </w:rPr>
        <w:t>.</w:t>
      </w:r>
    </w:p>
    <w:p w:rsidR="002B122E" w:rsidRDefault="002B122E" w:rsidP="002B122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 концентрації 1:20 с</w:t>
      </w:r>
      <w:r w:rsidRPr="002B122E">
        <w:rPr>
          <w:rFonts w:ascii="Times New Roman" w:hAnsi="Times New Roman"/>
          <w:sz w:val="24"/>
          <w:szCs w:val="24"/>
          <w:lang w:val="uk-UA"/>
        </w:rPr>
        <w:t xml:space="preserve">ередня швидкість досягає 650 м/с, що є максимальним значенням. </w:t>
      </w:r>
    </w:p>
    <w:p w:rsidR="002B122E" w:rsidRDefault="002B122E" w:rsidP="002B122E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B122E">
        <w:rPr>
          <w:rFonts w:ascii="Times New Roman" w:hAnsi="Times New Roman"/>
          <w:sz w:val="24"/>
          <w:szCs w:val="24"/>
          <w:lang w:val="uk-UA"/>
        </w:rPr>
        <w:t>Зменшення концентрації молока спричиняє зниження в'язкості, що підвищує інтенсивність броунівського руху, відповідно до рівняння Стокса–Ейнштейна.</w:t>
      </w:r>
      <w:r w:rsidRPr="002B122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D07EF7" w:rsidRPr="002B122E" w:rsidRDefault="002B122E" w:rsidP="002B12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sz w:val="24"/>
          <w:szCs w:val="24"/>
          <w:lang w:val="uk-UA"/>
        </w:rPr>
        <w:t>(Слайд 17</w:t>
      </w:r>
      <w:r w:rsidR="00D07EF7" w:rsidRPr="00B5554C">
        <w:rPr>
          <w:rFonts w:ascii="Times New Roman" w:hAnsi="Times New Roman"/>
          <w:b/>
          <w:sz w:val="24"/>
          <w:szCs w:val="24"/>
          <w:lang w:val="uk-UA"/>
        </w:rPr>
        <w:t xml:space="preserve">) </w:t>
      </w:r>
      <w:r w:rsidR="00D07EF7" w:rsidRPr="00B5554C">
        <w:rPr>
          <w:rFonts w:ascii="Times New Roman" w:hAnsi="Times New Roman"/>
          <w:sz w:val="24"/>
          <w:szCs w:val="24"/>
          <w:lang w:val="uk-UA"/>
        </w:rPr>
        <w:t>Отже, д</w:t>
      </w:r>
      <w:r w:rsidR="00D07EF7" w:rsidRPr="002B12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ослідження підтвердило, що траєкторії частинок молока у водних розчинах є хаотичними, що відповідає теоретичним уявленням про броунівський рух. </w:t>
      </w:r>
    </w:p>
    <w:p w:rsidR="00D07EF7" w:rsidRPr="00B5554C" w:rsidRDefault="00D07EF7" w:rsidP="00B555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77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Результати відкривають перспективи для глибшого вивчення броунівського руху в інших типах рідких середовищ, включаючи складні розчини, багатокомпонентні системи та біологічні рідини.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Дослідження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продемонструвало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важливість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універсальність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теорії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броунівського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водночас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підкресливши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практичне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розуміння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аналізу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властивостей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реальних</w:t>
      </w:r>
      <w:proofErr w:type="spellEnd"/>
      <w:r w:rsidRPr="00B55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систем.</w:t>
      </w:r>
    </w:p>
    <w:p w:rsidR="00D07EF7" w:rsidRPr="00B5554C" w:rsidRDefault="00D07EF7" w:rsidP="00B555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GoBack"/>
      <w:bookmarkEnd w:id="0"/>
    </w:p>
    <w:p w:rsidR="00D07EF7" w:rsidRPr="00B5554C" w:rsidRDefault="00D07EF7" w:rsidP="00B5554C">
      <w:pPr>
        <w:spacing w:line="240" w:lineRule="auto"/>
        <w:rPr>
          <w:sz w:val="24"/>
          <w:szCs w:val="24"/>
          <w:lang w:val="uk-UA"/>
        </w:rPr>
      </w:pPr>
    </w:p>
    <w:p w:rsidR="00D07EF7" w:rsidRPr="00B5554C" w:rsidRDefault="00D07EF7" w:rsidP="00B5554C">
      <w:pPr>
        <w:spacing w:line="240" w:lineRule="auto"/>
        <w:jc w:val="both"/>
        <w:rPr>
          <w:sz w:val="24"/>
          <w:szCs w:val="24"/>
          <w:lang w:val="uk-UA"/>
        </w:rPr>
      </w:pPr>
    </w:p>
    <w:sectPr w:rsidR="00D07EF7" w:rsidRPr="00B5554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147" w:rsidRDefault="002C4147" w:rsidP="00B5554C">
      <w:pPr>
        <w:spacing w:after="0" w:line="240" w:lineRule="auto"/>
      </w:pPr>
      <w:r>
        <w:separator/>
      </w:r>
    </w:p>
  </w:endnote>
  <w:endnote w:type="continuationSeparator" w:id="0">
    <w:p w:rsidR="002C4147" w:rsidRDefault="002C4147" w:rsidP="00B55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3590555"/>
      <w:docPartObj>
        <w:docPartGallery w:val="Page Numbers (Bottom of Page)"/>
        <w:docPartUnique/>
      </w:docPartObj>
    </w:sdtPr>
    <w:sdtEndPr/>
    <w:sdtContent>
      <w:p w:rsidR="00B5554C" w:rsidRDefault="00B5554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73DB">
          <w:rPr>
            <w:noProof/>
          </w:rPr>
          <w:t>2</w:t>
        </w:r>
        <w:r>
          <w:fldChar w:fldCharType="end"/>
        </w:r>
      </w:p>
    </w:sdtContent>
  </w:sdt>
  <w:p w:rsidR="00B5554C" w:rsidRDefault="00B5554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147" w:rsidRDefault="002C4147" w:rsidP="00B5554C">
      <w:pPr>
        <w:spacing w:after="0" w:line="240" w:lineRule="auto"/>
      </w:pPr>
      <w:r>
        <w:separator/>
      </w:r>
    </w:p>
  </w:footnote>
  <w:footnote w:type="continuationSeparator" w:id="0">
    <w:p w:rsidR="002C4147" w:rsidRDefault="002C4147" w:rsidP="00B555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308B1"/>
    <w:multiLevelType w:val="multilevel"/>
    <w:tmpl w:val="2E108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235"/>
    <w:rsid w:val="00033235"/>
    <w:rsid w:val="000B5C34"/>
    <w:rsid w:val="001E117A"/>
    <w:rsid w:val="00266775"/>
    <w:rsid w:val="002A7A99"/>
    <w:rsid w:val="002B122E"/>
    <w:rsid w:val="002C4147"/>
    <w:rsid w:val="003200C7"/>
    <w:rsid w:val="00375EB3"/>
    <w:rsid w:val="003D36AD"/>
    <w:rsid w:val="00541917"/>
    <w:rsid w:val="007173DB"/>
    <w:rsid w:val="00B5554C"/>
    <w:rsid w:val="00BA24D2"/>
    <w:rsid w:val="00D0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7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555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554C"/>
  </w:style>
  <w:style w:type="paragraph" w:styleId="a6">
    <w:name w:val="footer"/>
    <w:basedOn w:val="a"/>
    <w:link w:val="a7"/>
    <w:uiPriority w:val="99"/>
    <w:unhideWhenUsed/>
    <w:rsid w:val="00B555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55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7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555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554C"/>
  </w:style>
  <w:style w:type="paragraph" w:styleId="a6">
    <w:name w:val="footer"/>
    <w:basedOn w:val="a"/>
    <w:link w:val="a7"/>
    <w:uiPriority w:val="99"/>
    <w:unhideWhenUsed/>
    <w:rsid w:val="00B555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5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Домусчи</dc:creator>
  <cp:keywords/>
  <dc:description/>
  <cp:lastModifiedBy>Светлана Домусчи</cp:lastModifiedBy>
  <cp:revision>12</cp:revision>
  <cp:lastPrinted>2025-01-21T12:16:00Z</cp:lastPrinted>
  <dcterms:created xsi:type="dcterms:W3CDTF">2025-01-21T11:58:00Z</dcterms:created>
  <dcterms:modified xsi:type="dcterms:W3CDTF">2025-02-11T20:37:00Z</dcterms:modified>
</cp:coreProperties>
</file>