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E1" w:rsidRPr="00065FCC" w:rsidRDefault="00A41DE1" w:rsidP="00A41DE1">
      <w:pPr>
        <w:shd w:val="clear" w:color="auto" w:fill="FFFFFF" w:themeFill="background1"/>
        <w:spacing w:after="0" w:line="36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5F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Причини і фактори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виникнення раннього дитячого аутизму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Спочатку аутизм вважався тільки психіатричною або психологічною проблемою, його навіть досить довго плутали з шизофренією. Потім в усьому звинувачували батьків, які мало приділяли уваги дитині.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Аутизм може виникати як своєрідна аномалія розвитку генетичного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генезу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також спостерігатися у вигляді ускладнюючого синдрому при різних неврологічних захворюваннях, у тому числі і при метаболічних дефектах. Клінічна диференціація РДА має важливе значення для визначення специфіки лікувально-педагогічній роботи, а також для шкільного і соціального прогнозу.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 думка, що аутизм це не хвороба, це симптоматика, яку скорочено назвали одним словом, причиною її є багато проблем. </w:t>
      </w:r>
      <w:r w:rsidRPr="00136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Вважається, що </w:t>
      </w:r>
      <w:proofErr w:type="spellStart"/>
      <w:r w:rsidRPr="00136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аутична</w:t>
      </w:r>
      <w:proofErr w:type="spellEnd"/>
      <w:r w:rsidRPr="00136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поведінка є інтегральним розладом з різною етіологією і патогенезом.</w:t>
      </w:r>
      <w:r w:rsidRPr="00136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З'ясування у кожному конкретному випадку механізмів його розвитку на клінічному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етиопатогенетичному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рівні має важливе практичне і теоретичне значення. Природу цього явища до сьогодні не вивчено, як з ним боротися також ніхто достеменно не знає. Аутизмом зараз називають все, чому не знайшлося пояснення. Дитині перевіряють все але нічого не знаходять, а проблема є і довкола цієї проблеми є цілком чітка симптоматика.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-673100</wp:posOffset>
            </wp:positionV>
            <wp:extent cx="1066800" cy="1724025"/>
            <wp:effectExtent l="19050" t="0" r="0" b="0"/>
            <wp:wrapSquare wrapText="bothSides"/>
            <wp:docPr id="63" name="Рисунок 63" descr="http://asv-tmn.ru/wp-content/uploads/2014/08/3D-Character-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sv-tmn.ru/wp-content/uploads/2014/08/3D-Character-5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20" t="9003" r="25924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Вважається, що ранній дитячий аутизм частіше виникає в певному сімейному середовищі, звичайно це інтелектуальне середовище. Відомо також, що аутизм спостерігається у первістків і єдиних дітей в сім'ї.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Існує різний підхід до розуміння виникнення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аутичної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поведінки: одні автори вважають, що аутизм може виявлятися вже з народження, інші вважають за краще виділяти аутизм первинний і вторинний. Первинний розглядається як вроджена генетично зумовлена схильність, вторинний - як форма сформованих поведінкових реакцій. Практика показує, що зазвичай присутнє поєднання цих двох механізмів.</w:t>
      </w:r>
      <w:r w:rsidRPr="00065F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Існує чимало гіпотез, що пояснюють природу аутизму.</w:t>
      </w:r>
      <w:r w:rsidRPr="00136BAA">
        <w:rPr>
          <w:sz w:val="28"/>
          <w:szCs w:val="28"/>
        </w:rPr>
        <w:t xml:space="preserve"> 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 з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найрозповсюдженіших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гіпотез полягає у тому, що це відхилення у розвитку викликано генетичними порушеннями. Так, висновками досліджень, що проводив Міжнародний консорціум по молекулярному і генетичному вивченню аутизму, стало твердження, що на людських хромосомах 2 і 17 є ділянки, які викликають схильність до аутизму. Дослідникам також вдалося підтвердити припущення щодо того, що подібні зони містять 7 і 16 хромосоми. На думку канадського науковця Стефана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Шерера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, за аутизмом є "відповідальною" 7-а хромосома ДНК.</w:t>
      </w:r>
      <w:r w:rsidRPr="00BF6E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-108304</wp:posOffset>
            </wp:positionH>
            <wp:positionV relativeFrom="paragraph">
              <wp:posOffset>-1292008</wp:posOffset>
            </wp:positionV>
            <wp:extent cx="1219441" cy="1794076"/>
            <wp:effectExtent l="19050" t="0" r="0" b="0"/>
            <wp:wrapSquare wrapText="bothSides"/>
            <wp:docPr id="69" name="Рисунок 69" descr="https://s3-ap-southeast-1.amazonaws.com/babychakraserviceproviders/articles/images/Articles/Events/Safety%20Tips%20For%20Summer%20Camps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3-ap-southeast-1.amazonaws.com/babychakraserviceproviders/articles/images/Articles/Events/Safety%20Tips%20For%20Summer%20Camps%2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993" t="14487" r="51164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1" cy="17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Окрім цього встановлено, що в середньому мозок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аутистів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10% більше "нормальних" показників. Більшим є і розмір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мозочкової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мигдалини, яка бере участь в обробці емоційної інформації. Знайдені серйозні зміни в хімічному складі мозку.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Нав’язливі стани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аутистів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пов’язані з низьким вмістом серотоніну у мозку, а боязкість суспільства залежить від вмісту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окситоцину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якого називають "молекулою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комунікативності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Біохіміки також наголошують на спадкоємних факторах, що спричинюють порушення у мозковій тканині. Їх рішучим опонентом є доктор Едвін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Кук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Чикагський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університет), котрий стверджує, що чинником розвитку аутизму є вірус; і цей вірус перешкоджає міграції нервових клітин у мозку, який зароджується. При цьому усі науковці виявляють обережність, коли говорять про генетичну схильність до аутизму і гормональний вплив.</w:t>
      </w:r>
      <w:r w:rsidRPr="00136BAA">
        <w:rPr>
          <w:sz w:val="28"/>
          <w:szCs w:val="28"/>
        </w:rPr>
        <w:t xml:space="preserve"> 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Спеціалісти Центру аутизму Університету штату Вашингтон провели серію досліджень активності мозку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аутичних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при різних емоційних ситуаціях. Керівник Центру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Джералдин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Доусон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вважає, що отримані результати переконливо доводять, що при аутизмі виявляються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„зачепленими”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базові механізми функціонування мозку.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Rimland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С.С.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Мнухін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вказують на можливість ролі порушень активуючих впливів зі сторони утворень стволу мозку. Д.Н. Ісаєв і В.Е. </w:t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Каган висловлює припущення щодо значення порушення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чололімбічних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функціональних зв’язків у виникненні розладів системи організації і планування поведінки.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Кора головного мозку у дітей з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аутичними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розладами пасивно реєструє і закарбовує все, що потрапляє в їх поле зору, але втрачає здатність активного ставлення до явищ оточення; експериментально встановлено (С.С.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Мнухін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інші), що у них домінують в корі головного мозку процеси гальмування.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Відомо, що у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аутичних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ознаки мозкової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дисфункції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спостерігається частіше звичайного; у них нерідко виявляються порушення біохімічного обміну.</w:t>
      </w:r>
      <w:r w:rsidRPr="00BF6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Останнім часом це захворювання все частіше відносять до розряду захворювань пов’язаних  з проблемою оточення. Під оточенням розуміється їжа, ліки, повітря, вода, брак необхідних поживних мікроелементів, вміст токсинів в довкіллі, тобто, все, що оточує нас може мати потенційну небезпеку для людини.</w:t>
      </w:r>
    </w:p>
    <w:p w:rsidR="00A41DE1" w:rsidRPr="00416CC4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останнім показали, що існує прямий зв’язок між збільшенням кількості ртуті у вакцинах і аутизмом. У 1950 р, коли національний календар щеплень включав у себе всього 4 щеплення (від дифтерії, стовбняку, коклюшу та натуральної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аутизм розвивався всього у 1 дитини на 10000. Водночас педіатри називають це збігом. Зокрема Ден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Олмстед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своїх стаття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“Епоха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аутизму //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Press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" звертає увагу на те, що вперше аутизм виявили майже одночасно і в США, і в Європі.</w:t>
      </w:r>
    </w:p>
    <w:p w:rsidR="00A41DE1" w:rsidRPr="00BF6E02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oundrect id="_x0000_s1026" style="position:absolute;left:0;text-align:left;margin-left:127.9pt;margin-top:.25pt;width:240.75pt;height:91.25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1in" viewpoint="0" viewpointorigin="0" skewangle="-90" type="perspective"/>
            <v:textbox>
              <w:txbxContent>
                <w:p w:rsidR="00A41DE1" w:rsidRPr="0038492B" w:rsidRDefault="00A41DE1" w:rsidP="00A41DE1">
                  <w:pPr>
                    <w:jc w:val="center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56"/>
                      <w:szCs w:val="56"/>
                    </w:rPr>
                  </w:pPr>
                  <w:r w:rsidRPr="0038492B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56"/>
                      <w:szCs w:val="56"/>
                    </w:rPr>
                    <w:t>Причини аутизму</w:t>
                  </w:r>
                </w:p>
              </w:txbxContent>
            </v:textbox>
          </v:roundrect>
        </w:pic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29.6pt;margin-top:16.4pt;width:24pt;height:16.5pt;z-index:25166540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2" type="#_x0000_t67" style="position:absolute;left:0;text-align:left;margin-left:330.35pt;margin-top:-17.4pt;width:23.2pt;height:68.45pt;rotation:-3510790fd;z-index:25166643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67" style="position:absolute;left:0;text-align:left;margin-left:122.9pt;margin-top:-9.9pt;width:26pt;height:77pt;rotation:2964447fd;z-index:25166438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oval id="_x0000_s1027" style="position:absolute;left:0;text-align:left;margin-left:-49.05pt;margin-top:8.75pt;width:159pt;height:102.7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41DE1" w:rsidRPr="0038492B" w:rsidRDefault="00A41DE1" w:rsidP="00A41DE1">
                  <w:pPr>
                    <w:jc w:val="center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</w:pPr>
                  <w:r w:rsidRPr="0038492B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Спадкова схильність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oval id="_x0000_s1028" style="position:absolute;left:0;text-align:left;margin-left:140.65pt;margin-top:8.75pt;width:197.25pt;height:152.3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41DE1" w:rsidRPr="00A41DE1" w:rsidRDefault="00A41DE1" w:rsidP="00A41DE1">
                  <w:pPr>
                    <w:jc w:val="center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</w:pPr>
                  <w:r w:rsidRPr="00A41DE1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  <w:t>Органічні ураження</w:t>
                  </w:r>
                </w:p>
                <w:p w:rsidR="00A41DE1" w:rsidRPr="00A41DE1" w:rsidRDefault="00A41DE1" w:rsidP="00A41DE1">
                  <w:pPr>
                    <w:jc w:val="center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</w:pPr>
                  <w:r w:rsidRPr="00A41DE1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24"/>
                      <w:szCs w:val="24"/>
                    </w:rPr>
                    <w:t>(ліва півкуля і зона мовлення)</w:t>
                  </w:r>
                </w:p>
              </w:txbxContent>
            </v:textbox>
          </v:oval>
        </w:pict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6"/>
      </w:tblGrid>
      <w:tr w:rsidR="00A41DE1" w:rsidRPr="00136BAA" w:rsidTr="002E79D2">
        <w:tc>
          <w:tcPr>
            <w:tcW w:w="0" w:type="auto"/>
            <w:shd w:val="clear" w:color="auto" w:fill="FFFFDD"/>
            <w:hideMark/>
          </w:tcPr>
          <w:p w:rsidR="00A41DE1" w:rsidRPr="00136BAA" w:rsidRDefault="00A41DE1" w:rsidP="002E79D2">
            <w:pPr>
              <w:shd w:val="clear" w:color="auto" w:fill="FFFFFF" w:themeFill="background1"/>
              <w:spacing w:after="0" w:line="36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E71A73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9" style="position:absolute;margin-left:344.35pt;margin-top:4.3pt;width:162.75pt;height:102.75pt;z-index:25166336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41DE1" w:rsidRPr="0038492B" w:rsidRDefault="00A41DE1" w:rsidP="00A41DE1">
                  <w:pPr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</w:pPr>
                  <w:r w:rsidRPr="0038492B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Емоційна холодність матері</w:t>
                  </w:r>
                </w:p>
              </w:txbxContent>
            </v:textbox>
          </v:oval>
        </w:pict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1DE1" w:rsidRPr="00416CC4" w:rsidRDefault="00A41DE1" w:rsidP="00A41DE1">
      <w:pPr>
        <w:shd w:val="clear" w:color="auto" w:fill="FFFFFF" w:themeFill="background1"/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1596390</wp:posOffset>
            </wp:positionV>
            <wp:extent cx="1149985" cy="1863090"/>
            <wp:effectExtent l="19050" t="0" r="0" b="0"/>
            <wp:wrapSquare wrapText="bothSides"/>
            <wp:docPr id="23" name="Рисунок 63" descr="http://asv-tmn.ru/wp-content/uploads/2014/08/3D-Character-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sv-tmn.ru/wp-content/uploads/2014/08/3D-Character-5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20" t="9003" r="25924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Виникнення аутизму одночасно на різних континентах - не збіг, переконаний Ден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Олмстед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Така одночасність означає, що хворобу спровокував якийсь єдиний для різних місць чинник. Цим чинником може бути одночасне для різних країн попадання в організм дітей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етилртуті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причому не обов'язково у складі вакцин. Ден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Олмстед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дізнався, що дана особливо небезпечна форма органічної ртуті використовувалася приблизно з 1930 р. у виробництві фунгіцидів. Саме Моріс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Хараш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американський хімік, який запатентував вживання цієї сполуки у вакцинах, - там вона застосовується під назвою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тимеросал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вперше використав органічну ртуть для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дезинфекції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насіння.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Дві компанії (одна німецька, інша американська) створили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церезан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фунгіцид на основі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етилртуті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Спільне підприємство продавало цей фунгіцид і в Європу, і в США.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Етилртуть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досі входить в більшість вакцин від грипу, які отримують вагітні жінки і маленькі діти. Варто зауважити, що сільгосппродукти, які містять ртуть заборонені у сільгосппродукції у зв’язку з шкідливим впливом на людину та довкілля.</w:t>
      </w:r>
      <w:r w:rsidRPr="00136BAA">
        <w:rPr>
          <w:noProof/>
          <w:sz w:val="28"/>
          <w:szCs w:val="28"/>
        </w:rPr>
        <w:t xml:space="preserve"> </w:t>
      </w:r>
    </w:p>
    <w:p w:rsidR="00A41DE1" w:rsidRPr="00BF6E02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Отже, причиною виникнення аутизму могло бути - вважає Ден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Олмстед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дія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етилртуті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сільськогосподарські добрива. Таким чином, у деяких дітей, чутливих до дії нової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нейротоксичної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 ртуті, розвинулося нове неврологічне захворювання - аутизм.</w:t>
      </w:r>
      <w:r w:rsidRPr="00BF6E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Із появою нових вакцин проти інших захворювань, медпрацівники почали вводити дітям більші дози ртуті. Ті, хто був народжений у 1981 р, отримали 135 мікрограм ртуті (у середньому), та вже почалася реєстрація 1 дитини із 2600 дітей, народжених у тому році.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 додаванням вакцини від Гепатиту В (що вводилася у день народження) та вакцини від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гемофільної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інфекції типу В, дітей, народжені у 1996 р, отримали вакцинами вже 246 мікрограм ртуті. Аутизм тепер реєструвався у одного із кожних 350 дітей.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сьогоднішній день медпрацівники щеплюють дітей за календарем, що підготовлений Центром контролю захворювань і затверджений </w:t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Американською академією педіатрії та Американською академією сімейної медицини. Цей календар включає в себе 13 вакцин, кожна з яких може вводитися серією уколів. Таким чином дитині, перш ніж вона досягне віку 2 років (коли завершується розвиток мозку), 33 рази буде зроблене якесь щеплення. Набутим аутизмом сьогодні страждають: один із ста хлопчиків та одна із чотирьохсот дівчаток. Кожний рік лікарі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діагнозують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100 000 нових захворювань лише США.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-1981835</wp:posOffset>
            </wp:positionV>
            <wp:extent cx="1562100" cy="1866900"/>
            <wp:effectExtent l="19050" t="0" r="0" b="0"/>
            <wp:wrapSquare wrapText="bothSides"/>
            <wp:docPr id="26" name="Рисунок 15" descr="https://d3n8a8pro7vhmx.cloudfront.net/okgrassrootsproject/pages/1/attachments/original/1419657043/canstock6258318.jpg?141965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3n8a8pro7vhmx.cloudfront.net/okgrassrootsproject/pages/1/attachments/original/1419657043/canstock6258318.jpg?14196570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21" t="4428" r="8984" b="1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Звичайно, така реакція як аутизм виникає не у всіх, хтось може протистояти шкідливому впливу ззовні, а хтось вже ні.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набагато вразливіші до цих подразників.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Ще 10 років тому аутизм вважався невиліковним захворюванням, зараз почали з’являтися історії успіху. Але і досі кожна така перемога сенсація і щоразу ця перемога давалася дуже і дуже нелегко.</w:t>
      </w:r>
    </w:p>
    <w:p w:rsidR="00A41DE1" w:rsidRPr="00136BAA" w:rsidRDefault="00A41DE1" w:rsidP="00A41DE1">
      <w:pPr>
        <w:shd w:val="clear" w:color="auto" w:fill="FFFFFF" w:themeFill="background1"/>
        <w:spacing w:after="0" w:line="360" w:lineRule="auto"/>
        <w:ind w:right="42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років тому це було вкрай рідкісне захворювання, зараз замість кількох дітей на 10000 на аутизм страждає в середньому 1 на 200 дітей, а в деяких країнах статистика ще гірша - в Англії це 1 на 80. Зростання аутизму в світі вже зіставляють за масштабами з епідемією. Випадки захворювання збільшуються в середньому від 25% до 100% в рік в одному і тому ж регіоні. За останні 30 років більше 1 000 </w:t>
      </w:r>
      <w:proofErr w:type="spellStart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13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дітей захворіли аутизмом. Сьогодні 1 із 68 сімей має дитину, що хвора аутизмом.</w:t>
      </w:r>
    </w:p>
    <w:p w:rsidR="00A41DE1" w:rsidRPr="00416CC4" w:rsidRDefault="00A41DE1" w:rsidP="00A41DE1">
      <w:pPr>
        <w:pStyle w:val="2"/>
        <w:shd w:val="clear" w:color="auto" w:fill="FFFFFF"/>
        <w:spacing w:before="300" w:beforeAutospacing="0" w:after="0" w:afterAutospacing="0" w:line="360" w:lineRule="auto"/>
        <w:ind w:right="425"/>
        <w:jc w:val="both"/>
        <w:textAlignment w:val="baseline"/>
        <w:rPr>
          <w:bCs w:val="0"/>
          <w:color w:val="000000"/>
          <w:sz w:val="28"/>
          <w:szCs w:val="28"/>
        </w:rPr>
      </w:pPr>
    </w:p>
    <w:p w:rsidR="00A41DE1" w:rsidRPr="00416CC4" w:rsidRDefault="00A41DE1" w:rsidP="00A41DE1">
      <w:pPr>
        <w:pStyle w:val="2"/>
        <w:shd w:val="clear" w:color="auto" w:fill="FFFFFF"/>
        <w:spacing w:before="300" w:beforeAutospacing="0" w:after="0" w:afterAutospacing="0" w:line="360" w:lineRule="auto"/>
        <w:ind w:right="425"/>
        <w:jc w:val="both"/>
        <w:textAlignment w:val="baseline"/>
        <w:rPr>
          <w:bCs w:val="0"/>
          <w:color w:val="000000"/>
          <w:sz w:val="28"/>
          <w:szCs w:val="28"/>
        </w:rPr>
      </w:pPr>
    </w:p>
    <w:p w:rsidR="00DC465E" w:rsidRDefault="00DC465E"/>
    <w:sectPr w:rsidR="00DC4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1DE1"/>
    <w:rsid w:val="00A41DE1"/>
    <w:rsid w:val="00D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D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5284</Words>
  <Characters>3013</Characters>
  <Application>Microsoft Office Word</Application>
  <DocSecurity>0</DocSecurity>
  <Lines>25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2021-09-23T08:58:00Z</dcterms:created>
  <dcterms:modified xsi:type="dcterms:W3CDTF">2021-09-23T09:04:00Z</dcterms:modified>
</cp:coreProperties>
</file>